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76e1c838223401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38E5" w14:textId="77777777" w:rsidR="00940E13" w:rsidRDefault="00940E13">
      <w:pPr>
        <w:spacing w:after="0" w:line="240" w:lineRule="auto"/>
        <w:rPr>
          <w:rFonts w:ascii="Arial" w:eastAsia="Arial" w:hAnsi="Arial" w:cs="Arial"/>
          <w:b/>
          <w:sz w:val="28"/>
        </w:rPr>
      </w:pPr>
    </w:p>
    <w:p w14:paraId="799638E6" w14:textId="77777777" w:rsidR="008C051F" w:rsidRDefault="00266922">
      <w:pPr>
        <w:spacing w:after="0" w:line="240" w:lineRule="auto"/>
        <w:rPr>
          <w:rFonts w:ascii="Arial" w:eastAsia="Arial" w:hAnsi="Arial" w:cs="Arial"/>
          <w:b/>
          <w:sz w:val="28"/>
        </w:rPr>
      </w:pPr>
      <w:r>
        <w:rPr>
          <w:rFonts w:ascii="Arial" w:eastAsia="Arial" w:hAnsi="Arial" w:cs="Arial"/>
          <w:b/>
          <w:sz w:val="28"/>
        </w:rPr>
        <w:t>Employment, skills and economic growth</w:t>
      </w:r>
    </w:p>
    <w:p w14:paraId="799638E7" w14:textId="77777777" w:rsidR="008C051F" w:rsidRDefault="008C051F">
      <w:pPr>
        <w:spacing w:after="0" w:line="240" w:lineRule="auto"/>
        <w:rPr>
          <w:rFonts w:ascii="Arial" w:eastAsia="Arial" w:hAnsi="Arial" w:cs="Arial"/>
          <w:b/>
          <w:sz w:val="28"/>
        </w:rPr>
      </w:pPr>
    </w:p>
    <w:p w14:paraId="799638E8" w14:textId="77777777" w:rsidR="008C051F" w:rsidRDefault="00266922">
      <w:pPr>
        <w:spacing w:after="0" w:line="240" w:lineRule="auto"/>
        <w:rPr>
          <w:rFonts w:ascii="Arial" w:eastAsia="Arial" w:hAnsi="Arial" w:cs="Arial"/>
          <w:b/>
        </w:rPr>
      </w:pPr>
      <w:r>
        <w:rPr>
          <w:rFonts w:ascii="Arial" w:eastAsia="Arial" w:hAnsi="Arial" w:cs="Arial"/>
          <w:b/>
        </w:rPr>
        <w:t xml:space="preserve">Purpose </w:t>
      </w:r>
    </w:p>
    <w:p w14:paraId="799638E9" w14:textId="77777777" w:rsidR="008C051F" w:rsidRDefault="008C051F">
      <w:pPr>
        <w:spacing w:after="0" w:line="240" w:lineRule="auto"/>
        <w:rPr>
          <w:rFonts w:ascii="Arial" w:eastAsia="Arial" w:hAnsi="Arial" w:cs="Arial"/>
          <w:b/>
        </w:rPr>
      </w:pPr>
    </w:p>
    <w:p w14:paraId="799638EA" w14:textId="77777777" w:rsidR="008C051F" w:rsidRDefault="00266922">
      <w:pPr>
        <w:spacing w:after="0" w:line="240" w:lineRule="auto"/>
        <w:rPr>
          <w:rFonts w:ascii="Arial" w:eastAsia="Arial" w:hAnsi="Arial" w:cs="Arial"/>
          <w:b/>
        </w:rPr>
      </w:pPr>
      <w:r>
        <w:rPr>
          <w:rFonts w:ascii="Arial" w:eastAsia="Arial" w:hAnsi="Arial" w:cs="Arial"/>
        </w:rPr>
        <w:t>For discussion and to update members on progress.</w:t>
      </w:r>
    </w:p>
    <w:p w14:paraId="799638EB" w14:textId="77777777" w:rsidR="008C051F" w:rsidRDefault="008C051F">
      <w:pPr>
        <w:spacing w:after="0" w:line="240" w:lineRule="auto"/>
        <w:rPr>
          <w:rFonts w:ascii="Arial" w:eastAsia="Arial" w:hAnsi="Arial" w:cs="Arial"/>
          <w:b/>
        </w:rPr>
      </w:pPr>
    </w:p>
    <w:p w14:paraId="799638EC" w14:textId="77777777" w:rsidR="008C051F" w:rsidRDefault="00266922">
      <w:pPr>
        <w:spacing w:after="0" w:line="240" w:lineRule="auto"/>
        <w:rPr>
          <w:rFonts w:ascii="Arial" w:eastAsia="Arial" w:hAnsi="Arial" w:cs="Arial"/>
        </w:rPr>
      </w:pPr>
      <w:r>
        <w:rPr>
          <w:rFonts w:ascii="Arial" w:eastAsia="Arial" w:hAnsi="Arial" w:cs="Arial"/>
          <w:b/>
        </w:rPr>
        <w:t>Summary</w:t>
      </w:r>
    </w:p>
    <w:p w14:paraId="799638ED" w14:textId="77777777" w:rsidR="008C051F" w:rsidRDefault="008C051F">
      <w:pPr>
        <w:spacing w:after="0" w:line="240" w:lineRule="auto"/>
        <w:rPr>
          <w:rFonts w:ascii="Arial" w:eastAsia="Arial" w:hAnsi="Arial" w:cs="Arial"/>
        </w:rPr>
      </w:pPr>
    </w:p>
    <w:p w14:paraId="799638EE" w14:textId="77777777" w:rsidR="008C051F" w:rsidRDefault="00266922">
      <w:pPr>
        <w:spacing w:after="0" w:line="240" w:lineRule="auto"/>
        <w:rPr>
          <w:rFonts w:ascii="Arial" w:eastAsia="Arial" w:hAnsi="Arial" w:cs="Arial"/>
        </w:rPr>
      </w:pPr>
      <w:r>
        <w:rPr>
          <w:rFonts w:ascii="Arial" w:eastAsia="Arial" w:hAnsi="Arial" w:cs="Arial"/>
        </w:rPr>
        <w:t>This paper provides detail and a progress update on a programme of work on employment, skills and econom</w:t>
      </w:r>
      <w:r w:rsidR="00940E13">
        <w:rPr>
          <w:rFonts w:ascii="Arial" w:eastAsia="Arial" w:hAnsi="Arial" w:cs="Arial"/>
        </w:rPr>
        <w:t>ic growth as agreed within the b</w:t>
      </w:r>
      <w:r>
        <w:rPr>
          <w:rFonts w:ascii="Arial" w:eastAsia="Arial" w:hAnsi="Arial" w:cs="Arial"/>
        </w:rPr>
        <w:t xml:space="preserve">oard’s work programme. </w:t>
      </w:r>
    </w:p>
    <w:p w14:paraId="799638EF" w14:textId="77777777" w:rsidR="008C051F" w:rsidRDefault="008C051F">
      <w:pPr>
        <w:spacing w:after="0" w:line="240" w:lineRule="auto"/>
        <w:rPr>
          <w:rFonts w:ascii="Arial" w:eastAsia="Arial" w:hAnsi="Arial" w:cs="Arial"/>
        </w:rPr>
      </w:pPr>
    </w:p>
    <w:p w14:paraId="799638F0" w14:textId="77777777" w:rsidR="008C051F" w:rsidRDefault="008C051F">
      <w:pPr>
        <w:spacing w:after="0" w:line="240" w:lineRule="auto"/>
        <w:rPr>
          <w:rFonts w:ascii="Arial" w:eastAsia="Arial" w:hAnsi="Arial" w:cs="Arial"/>
        </w:rPr>
      </w:pPr>
    </w:p>
    <w:tbl>
      <w:tblPr>
        <w:tblW w:w="0" w:type="auto"/>
        <w:tblInd w:w="74" w:type="dxa"/>
        <w:tblCellMar>
          <w:left w:w="10" w:type="dxa"/>
          <w:right w:w="10" w:type="dxa"/>
        </w:tblCellMar>
        <w:tblLook w:val="0000" w:firstRow="0" w:lastRow="0" w:firstColumn="0" w:lastColumn="0" w:noHBand="0" w:noVBand="0"/>
      </w:tblPr>
      <w:tblGrid>
        <w:gridCol w:w="9120"/>
      </w:tblGrid>
      <w:tr w:rsidR="008C051F" w14:paraId="799638FB" w14:textId="77777777">
        <w:trPr>
          <w:trHeight w:val="1"/>
        </w:trPr>
        <w:tc>
          <w:tcPr>
            <w:tcW w:w="915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tcPr>
          <w:p w14:paraId="799638F1" w14:textId="77777777" w:rsidR="008C051F" w:rsidRDefault="008C051F">
            <w:pPr>
              <w:spacing w:after="0" w:line="240" w:lineRule="auto"/>
              <w:rPr>
                <w:rFonts w:ascii="Arial" w:eastAsia="Arial" w:hAnsi="Arial" w:cs="Arial"/>
                <w:b/>
              </w:rPr>
            </w:pPr>
          </w:p>
          <w:p w14:paraId="799638F2" w14:textId="77777777" w:rsidR="008C051F" w:rsidRDefault="00940E13">
            <w:pPr>
              <w:spacing w:after="0" w:line="240" w:lineRule="auto"/>
              <w:rPr>
                <w:rFonts w:ascii="Arial" w:eastAsia="Arial" w:hAnsi="Arial" w:cs="Arial"/>
                <w:b/>
              </w:rPr>
            </w:pPr>
            <w:r>
              <w:rPr>
                <w:rFonts w:ascii="Arial" w:eastAsia="Arial" w:hAnsi="Arial" w:cs="Arial"/>
                <w:b/>
              </w:rPr>
              <w:t>Recommendation</w:t>
            </w:r>
          </w:p>
          <w:p w14:paraId="799638F3" w14:textId="77777777" w:rsidR="008C051F" w:rsidRDefault="008C051F">
            <w:pPr>
              <w:spacing w:after="0" w:line="240" w:lineRule="auto"/>
              <w:rPr>
                <w:rFonts w:ascii="Arial" w:eastAsia="Arial" w:hAnsi="Arial" w:cs="Arial"/>
              </w:rPr>
            </w:pPr>
          </w:p>
          <w:p w14:paraId="799638F4" w14:textId="77777777" w:rsidR="008C051F" w:rsidRDefault="00940E13">
            <w:pPr>
              <w:spacing w:after="0" w:line="240" w:lineRule="auto"/>
              <w:rPr>
                <w:rFonts w:ascii="Arial" w:eastAsia="Arial" w:hAnsi="Arial" w:cs="Arial"/>
              </w:rPr>
            </w:pPr>
            <w:r>
              <w:rPr>
                <w:rFonts w:ascii="Arial" w:eastAsia="Arial" w:hAnsi="Arial" w:cs="Arial"/>
              </w:rPr>
              <w:t>That the b</w:t>
            </w:r>
            <w:r w:rsidR="00266922">
              <w:rPr>
                <w:rFonts w:ascii="Arial" w:eastAsia="Arial" w:hAnsi="Arial" w:cs="Arial"/>
              </w:rPr>
              <w:t>oard discuss the proposed programme of work including how it can and should support the priorities and objectives on the People and Places Board.</w:t>
            </w:r>
          </w:p>
          <w:p w14:paraId="799638F5" w14:textId="77777777" w:rsidR="008C051F" w:rsidRDefault="008C051F">
            <w:pPr>
              <w:spacing w:after="0" w:line="240" w:lineRule="auto"/>
              <w:rPr>
                <w:rFonts w:ascii="Arial" w:eastAsia="Arial" w:hAnsi="Arial" w:cs="Arial"/>
              </w:rPr>
            </w:pPr>
          </w:p>
          <w:p w14:paraId="799638F6" w14:textId="77777777" w:rsidR="008C051F" w:rsidRDefault="00940E13">
            <w:pPr>
              <w:spacing w:after="0" w:line="240" w:lineRule="auto"/>
              <w:rPr>
                <w:rFonts w:ascii="Arial" w:eastAsia="Arial" w:hAnsi="Arial" w:cs="Arial"/>
                <w:b/>
              </w:rPr>
            </w:pPr>
            <w:r>
              <w:rPr>
                <w:rFonts w:ascii="Arial" w:eastAsia="Arial" w:hAnsi="Arial" w:cs="Arial"/>
                <w:b/>
              </w:rPr>
              <w:t>Action</w:t>
            </w:r>
          </w:p>
          <w:p w14:paraId="799638F7" w14:textId="77777777" w:rsidR="008C051F" w:rsidRDefault="008C051F">
            <w:pPr>
              <w:spacing w:after="0" w:line="240" w:lineRule="auto"/>
              <w:rPr>
                <w:rFonts w:ascii="Arial" w:eastAsia="Arial" w:hAnsi="Arial" w:cs="Arial"/>
                <w:b/>
              </w:rPr>
            </w:pPr>
          </w:p>
          <w:p w14:paraId="799638F8" w14:textId="77777777" w:rsidR="008C051F" w:rsidRDefault="00266922">
            <w:pPr>
              <w:spacing w:after="0" w:line="240" w:lineRule="auto"/>
              <w:rPr>
                <w:rFonts w:ascii="Arial" w:eastAsia="Arial" w:hAnsi="Arial" w:cs="Arial"/>
              </w:rPr>
            </w:pPr>
            <w:r>
              <w:rPr>
                <w:rFonts w:ascii="Arial" w:eastAsia="Arial" w:hAnsi="Arial" w:cs="Arial"/>
              </w:rPr>
              <w:t xml:space="preserve">Officers to progress the programme and projects as directed by the board. </w:t>
            </w:r>
          </w:p>
          <w:p w14:paraId="799638F9" w14:textId="77777777" w:rsidR="008C051F" w:rsidRDefault="008C051F">
            <w:pPr>
              <w:spacing w:after="0" w:line="240" w:lineRule="auto"/>
              <w:rPr>
                <w:rFonts w:ascii="Arial" w:eastAsia="Arial" w:hAnsi="Arial" w:cs="Arial"/>
                <w:b/>
              </w:rPr>
            </w:pPr>
          </w:p>
          <w:p w14:paraId="799638FA" w14:textId="77777777" w:rsidR="008C051F" w:rsidRDefault="008C051F">
            <w:pPr>
              <w:spacing w:after="0" w:line="240" w:lineRule="auto"/>
            </w:pPr>
          </w:p>
        </w:tc>
      </w:tr>
    </w:tbl>
    <w:p w14:paraId="799638FC" w14:textId="77777777" w:rsidR="008C051F" w:rsidRDefault="008C051F">
      <w:pPr>
        <w:spacing w:after="0" w:line="240" w:lineRule="auto"/>
        <w:rPr>
          <w:rFonts w:ascii="Arial" w:eastAsia="Arial" w:hAnsi="Arial" w:cs="Arial"/>
        </w:rPr>
      </w:pPr>
    </w:p>
    <w:p w14:paraId="799638FD" w14:textId="77777777" w:rsidR="008C051F" w:rsidRDefault="008C051F">
      <w:pPr>
        <w:spacing w:after="0" w:line="240" w:lineRule="auto"/>
        <w:rPr>
          <w:rFonts w:ascii="Arial" w:eastAsia="Arial" w:hAnsi="Arial" w:cs="Arial"/>
        </w:rPr>
      </w:pPr>
    </w:p>
    <w:p w14:paraId="799638FE" w14:textId="77777777" w:rsidR="008C051F" w:rsidRDefault="008C051F">
      <w:pPr>
        <w:spacing w:after="0" w:line="240" w:lineRule="auto"/>
        <w:rPr>
          <w:rFonts w:ascii="Arial" w:eastAsia="Arial" w:hAnsi="Arial" w:cs="Arial"/>
        </w:rPr>
      </w:pPr>
    </w:p>
    <w:tbl>
      <w:tblPr>
        <w:tblW w:w="0" w:type="auto"/>
        <w:tblInd w:w="98" w:type="dxa"/>
        <w:tblCellMar>
          <w:left w:w="10" w:type="dxa"/>
          <w:right w:w="10" w:type="dxa"/>
        </w:tblCellMar>
        <w:tblLook w:val="0000" w:firstRow="0" w:lastRow="0" w:firstColumn="0" w:lastColumn="0" w:noHBand="0" w:noVBand="0"/>
      </w:tblPr>
      <w:tblGrid>
        <w:gridCol w:w="2791"/>
        <w:gridCol w:w="6353"/>
      </w:tblGrid>
      <w:tr w:rsidR="008C051F" w14:paraId="79963901" w14:textId="77777777" w:rsidTr="00940E13">
        <w:trPr>
          <w:trHeight w:val="1"/>
        </w:trPr>
        <w:tc>
          <w:tcPr>
            <w:tcW w:w="2802" w:type="dxa"/>
            <w:shd w:val="clear" w:color="000000" w:fill="FFFFFF"/>
            <w:tcMar>
              <w:left w:w="108" w:type="dxa"/>
              <w:right w:w="108" w:type="dxa"/>
            </w:tcMar>
          </w:tcPr>
          <w:p w14:paraId="799638FF" w14:textId="77777777" w:rsidR="008C051F" w:rsidRDefault="00266922">
            <w:pPr>
              <w:spacing w:before="120" w:after="0" w:line="240" w:lineRule="auto"/>
            </w:pPr>
            <w:r>
              <w:rPr>
                <w:rFonts w:ascii="Arial" w:eastAsia="Arial" w:hAnsi="Arial" w:cs="Arial"/>
                <w:b/>
              </w:rPr>
              <w:t>Lead Member:</w:t>
            </w:r>
          </w:p>
        </w:tc>
        <w:tc>
          <w:tcPr>
            <w:tcW w:w="6378" w:type="dxa"/>
            <w:shd w:val="clear" w:color="000000" w:fill="FFFFFF"/>
            <w:tcMar>
              <w:left w:w="108" w:type="dxa"/>
              <w:right w:w="108" w:type="dxa"/>
            </w:tcMar>
          </w:tcPr>
          <w:p w14:paraId="79963900" w14:textId="77777777" w:rsidR="008C051F" w:rsidRDefault="00266922">
            <w:pPr>
              <w:spacing w:before="120" w:after="0" w:line="240" w:lineRule="auto"/>
            </w:pPr>
            <w:r>
              <w:rPr>
                <w:rFonts w:ascii="Arial" w:eastAsia="Arial" w:hAnsi="Arial" w:cs="Arial"/>
              </w:rPr>
              <w:t xml:space="preserve">Mayor Tony Egginton </w:t>
            </w:r>
          </w:p>
        </w:tc>
      </w:tr>
      <w:tr w:rsidR="008C051F" w14:paraId="79963904" w14:textId="77777777" w:rsidTr="00940E13">
        <w:trPr>
          <w:trHeight w:val="1"/>
        </w:trPr>
        <w:tc>
          <w:tcPr>
            <w:tcW w:w="2802" w:type="dxa"/>
            <w:shd w:val="clear" w:color="000000" w:fill="FFFFFF"/>
            <w:tcMar>
              <w:left w:w="108" w:type="dxa"/>
              <w:right w:w="108" w:type="dxa"/>
            </w:tcMar>
          </w:tcPr>
          <w:p w14:paraId="79963902" w14:textId="77777777" w:rsidR="008C051F" w:rsidRDefault="00266922">
            <w:pPr>
              <w:spacing w:before="120" w:after="0" w:line="240" w:lineRule="auto"/>
            </w:pPr>
            <w:r>
              <w:rPr>
                <w:rFonts w:ascii="Arial" w:eastAsia="Arial" w:hAnsi="Arial" w:cs="Arial"/>
                <w:b/>
              </w:rPr>
              <w:t>Contact officer:</w:t>
            </w:r>
            <w:r>
              <w:rPr>
                <w:rFonts w:ascii="Arial" w:eastAsia="Arial" w:hAnsi="Arial" w:cs="Arial"/>
              </w:rPr>
              <w:t xml:space="preserve"> </w:t>
            </w:r>
          </w:p>
        </w:tc>
        <w:tc>
          <w:tcPr>
            <w:tcW w:w="6378" w:type="dxa"/>
            <w:shd w:val="clear" w:color="000000" w:fill="FFFFFF"/>
            <w:tcMar>
              <w:left w:w="108" w:type="dxa"/>
              <w:right w:w="108" w:type="dxa"/>
            </w:tcMar>
          </w:tcPr>
          <w:p w14:paraId="79963903" w14:textId="77777777" w:rsidR="008C051F" w:rsidRDefault="00266922">
            <w:pPr>
              <w:spacing w:before="120" w:after="0" w:line="240" w:lineRule="auto"/>
            </w:pPr>
            <w:r>
              <w:rPr>
                <w:rFonts w:ascii="Arial" w:eastAsia="Arial" w:hAnsi="Arial" w:cs="Arial"/>
              </w:rPr>
              <w:t>Rose Doran / Jasbir Jhas</w:t>
            </w:r>
          </w:p>
        </w:tc>
      </w:tr>
      <w:tr w:rsidR="008C051F" w14:paraId="79963907" w14:textId="77777777" w:rsidTr="00940E13">
        <w:trPr>
          <w:trHeight w:val="1"/>
        </w:trPr>
        <w:tc>
          <w:tcPr>
            <w:tcW w:w="2802" w:type="dxa"/>
            <w:shd w:val="clear" w:color="000000" w:fill="FFFFFF"/>
            <w:tcMar>
              <w:left w:w="108" w:type="dxa"/>
              <w:right w:w="108" w:type="dxa"/>
            </w:tcMar>
          </w:tcPr>
          <w:p w14:paraId="79963905" w14:textId="77777777" w:rsidR="008C051F" w:rsidRDefault="00266922">
            <w:pPr>
              <w:spacing w:before="120" w:after="0" w:line="240" w:lineRule="auto"/>
            </w:pPr>
            <w:r>
              <w:rPr>
                <w:rFonts w:ascii="Arial" w:eastAsia="Arial" w:hAnsi="Arial" w:cs="Arial"/>
                <w:b/>
              </w:rPr>
              <w:t>Position:</w:t>
            </w:r>
          </w:p>
        </w:tc>
        <w:tc>
          <w:tcPr>
            <w:tcW w:w="6378" w:type="dxa"/>
            <w:shd w:val="clear" w:color="000000" w:fill="FFFFFF"/>
            <w:tcMar>
              <w:left w:w="108" w:type="dxa"/>
              <w:right w:w="108" w:type="dxa"/>
            </w:tcMar>
          </w:tcPr>
          <w:p w14:paraId="79963906" w14:textId="77777777" w:rsidR="008C051F" w:rsidRDefault="00266922">
            <w:pPr>
              <w:spacing w:before="120" w:after="0" w:line="240" w:lineRule="auto"/>
            </w:pPr>
            <w:r>
              <w:rPr>
                <w:rFonts w:ascii="Arial" w:eastAsia="Arial" w:hAnsi="Arial" w:cs="Arial"/>
              </w:rPr>
              <w:t xml:space="preserve">Senior Advisers </w:t>
            </w:r>
          </w:p>
        </w:tc>
      </w:tr>
      <w:tr w:rsidR="008C051F" w14:paraId="7996390A" w14:textId="77777777" w:rsidTr="00940E13">
        <w:trPr>
          <w:trHeight w:val="1"/>
        </w:trPr>
        <w:tc>
          <w:tcPr>
            <w:tcW w:w="2802" w:type="dxa"/>
            <w:shd w:val="clear" w:color="000000" w:fill="FFFFFF"/>
            <w:tcMar>
              <w:left w:w="108" w:type="dxa"/>
              <w:right w:w="108" w:type="dxa"/>
            </w:tcMar>
          </w:tcPr>
          <w:p w14:paraId="79963908" w14:textId="77777777" w:rsidR="008C051F" w:rsidRDefault="00266922">
            <w:pPr>
              <w:spacing w:before="120" w:after="0" w:line="240" w:lineRule="auto"/>
            </w:pPr>
            <w:r>
              <w:rPr>
                <w:rFonts w:ascii="Arial" w:eastAsia="Arial" w:hAnsi="Arial" w:cs="Arial"/>
                <w:b/>
              </w:rPr>
              <w:t>Phone no:</w:t>
            </w:r>
          </w:p>
        </w:tc>
        <w:tc>
          <w:tcPr>
            <w:tcW w:w="6378" w:type="dxa"/>
            <w:shd w:val="clear" w:color="000000" w:fill="FFFFFF"/>
            <w:tcMar>
              <w:left w:w="108" w:type="dxa"/>
              <w:right w:w="108" w:type="dxa"/>
            </w:tcMar>
          </w:tcPr>
          <w:p w14:paraId="79963909" w14:textId="77777777" w:rsidR="008C051F" w:rsidRDefault="00266922">
            <w:pPr>
              <w:spacing w:before="120" w:after="0" w:line="240" w:lineRule="auto"/>
            </w:pPr>
            <w:r>
              <w:rPr>
                <w:rFonts w:ascii="Arial" w:eastAsia="Arial" w:hAnsi="Arial" w:cs="Arial"/>
              </w:rPr>
              <w:t>020 7664 3073</w:t>
            </w:r>
          </w:p>
        </w:tc>
      </w:tr>
      <w:tr w:rsidR="008C051F" w14:paraId="7996390D" w14:textId="77777777" w:rsidTr="00940E13">
        <w:tc>
          <w:tcPr>
            <w:tcW w:w="2802" w:type="dxa"/>
            <w:shd w:val="clear" w:color="000000" w:fill="FFFFFF"/>
            <w:tcMar>
              <w:left w:w="108" w:type="dxa"/>
              <w:right w:w="108" w:type="dxa"/>
            </w:tcMar>
          </w:tcPr>
          <w:p w14:paraId="7996390B" w14:textId="77777777" w:rsidR="008C051F" w:rsidRDefault="00266922">
            <w:pPr>
              <w:spacing w:before="120" w:after="0" w:line="240" w:lineRule="auto"/>
            </w:pPr>
            <w:r>
              <w:rPr>
                <w:rFonts w:ascii="Arial" w:eastAsia="Arial" w:hAnsi="Arial" w:cs="Arial"/>
                <w:b/>
              </w:rPr>
              <w:t>Email:</w:t>
            </w:r>
          </w:p>
        </w:tc>
        <w:tc>
          <w:tcPr>
            <w:tcW w:w="6378" w:type="dxa"/>
            <w:shd w:val="clear" w:color="000000" w:fill="FFFFFF"/>
            <w:tcMar>
              <w:left w:w="108" w:type="dxa"/>
              <w:right w:w="108" w:type="dxa"/>
            </w:tcMar>
          </w:tcPr>
          <w:p w14:paraId="7996390C" w14:textId="77777777" w:rsidR="008C051F" w:rsidRDefault="005964E3">
            <w:pPr>
              <w:spacing w:before="120" w:after="0" w:line="240" w:lineRule="auto"/>
              <w:rPr>
                <w:rFonts w:ascii="Arial" w:eastAsia="Arial" w:hAnsi="Arial" w:cs="Arial"/>
              </w:rPr>
            </w:pPr>
            <w:hyperlink r:id="rId8" w:history="1">
              <w:r w:rsidR="00940E13" w:rsidRPr="00CB5601">
                <w:rPr>
                  <w:rStyle w:val="Hyperlink"/>
                  <w:rFonts w:ascii="Arial" w:eastAsia="Arial" w:hAnsi="Arial" w:cs="Arial"/>
                </w:rPr>
                <w:t>rose.doran@local.gov.uk</w:t>
              </w:r>
            </w:hyperlink>
            <w:r w:rsidR="00940E13">
              <w:rPr>
                <w:rFonts w:ascii="Arial" w:eastAsia="Arial" w:hAnsi="Arial" w:cs="Arial"/>
              </w:rPr>
              <w:t xml:space="preserve"> </w:t>
            </w:r>
          </w:p>
        </w:tc>
      </w:tr>
    </w:tbl>
    <w:p w14:paraId="7996390E" w14:textId="77777777" w:rsidR="008C051F" w:rsidRDefault="008C051F">
      <w:pPr>
        <w:spacing w:after="0" w:line="240" w:lineRule="auto"/>
        <w:rPr>
          <w:rFonts w:ascii="Arial" w:eastAsia="Arial" w:hAnsi="Arial" w:cs="Arial"/>
        </w:rPr>
      </w:pPr>
    </w:p>
    <w:p w14:paraId="7996390F" w14:textId="77777777" w:rsidR="008C051F" w:rsidRDefault="008C051F">
      <w:pPr>
        <w:spacing w:after="0" w:line="240" w:lineRule="auto"/>
        <w:rPr>
          <w:rFonts w:ascii="Arial" w:eastAsia="Arial" w:hAnsi="Arial" w:cs="Arial"/>
        </w:rPr>
      </w:pPr>
    </w:p>
    <w:p w14:paraId="79963910" w14:textId="77777777" w:rsidR="008C051F" w:rsidRDefault="00266922">
      <w:pPr>
        <w:spacing w:after="0" w:line="240" w:lineRule="auto"/>
        <w:rPr>
          <w:rFonts w:ascii="Arial" w:eastAsia="Arial" w:hAnsi="Arial" w:cs="Arial"/>
        </w:rPr>
      </w:pPr>
      <w:r>
        <w:rPr>
          <w:rFonts w:ascii="Arial" w:eastAsia="Arial" w:hAnsi="Arial" w:cs="Arial"/>
        </w:rPr>
        <w:t xml:space="preserve"> </w:t>
      </w:r>
    </w:p>
    <w:p w14:paraId="79963911" w14:textId="77777777" w:rsidR="008C051F" w:rsidRDefault="008C051F">
      <w:pPr>
        <w:spacing w:after="0" w:line="240" w:lineRule="auto"/>
        <w:rPr>
          <w:rFonts w:ascii="Arial" w:eastAsia="Arial" w:hAnsi="Arial" w:cs="Arial"/>
        </w:rPr>
      </w:pPr>
    </w:p>
    <w:p w14:paraId="79963912" w14:textId="77777777" w:rsidR="008C051F" w:rsidRDefault="008C051F">
      <w:pPr>
        <w:spacing w:after="0" w:line="240" w:lineRule="auto"/>
        <w:rPr>
          <w:rFonts w:ascii="Arial" w:eastAsia="Arial" w:hAnsi="Arial" w:cs="Arial"/>
        </w:rPr>
      </w:pPr>
    </w:p>
    <w:p w14:paraId="79963913" w14:textId="77777777" w:rsidR="00611B0A" w:rsidRDefault="00611B0A">
      <w:pPr>
        <w:rPr>
          <w:rFonts w:ascii="Arial" w:eastAsia="Arial" w:hAnsi="Arial" w:cs="Arial"/>
          <w:b/>
        </w:rPr>
      </w:pPr>
      <w:r>
        <w:rPr>
          <w:rFonts w:ascii="Arial" w:eastAsia="Arial" w:hAnsi="Arial" w:cs="Arial"/>
          <w:b/>
        </w:rPr>
        <w:br w:type="page"/>
      </w:r>
    </w:p>
    <w:p w14:paraId="79963914" w14:textId="77777777" w:rsidR="00940E13" w:rsidRDefault="00940E13" w:rsidP="00940E13">
      <w:pPr>
        <w:spacing w:after="0" w:line="240" w:lineRule="auto"/>
        <w:rPr>
          <w:rFonts w:ascii="Arial" w:eastAsia="Arial" w:hAnsi="Arial" w:cs="Arial"/>
          <w:b/>
          <w:sz w:val="28"/>
        </w:rPr>
      </w:pPr>
      <w:r>
        <w:rPr>
          <w:rFonts w:ascii="Arial" w:eastAsia="Arial" w:hAnsi="Arial" w:cs="Arial"/>
          <w:b/>
          <w:sz w:val="28"/>
        </w:rPr>
        <w:lastRenderedPageBreak/>
        <w:t>Employment, skills and economic growth</w:t>
      </w:r>
    </w:p>
    <w:p w14:paraId="79963915" w14:textId="77777777" w:rsidR="00940E13" w:rsidRDefault="00940E13">
      <w:pPr>
        <w:spacing w:after="0" w:line="240" w:lineRule="auto"/>
        <w:rPr>
          <w:rFonts w:ascii="Arial" w:eastAsia="Arial" w:hAnsi="Arial" w:cs="Arial"/>
          <w:b/>
        </w:rPr>
      </w:pPr>
    </w:p>
    <w:p w14:paraId="79963916" w14:textId="77777777" w:rsidR="008C051F" w:rsidRDefault="00266922">
      <w:pPr>
        <w:spacing w:after="0" w:line="240" w:lineRule="auto"/>
        <w:rPr>
          <w:rFonts w:ascii="Arial" w:eastAsia="Arial" w:hAnsi="Arial" w:cs="Arial"/>
          <w:b/>
        </w:rPr>
      </w:pPr>
      <w:r>
        <w:rPr>
          <w:rFonts w:ascii="Arial" w:eastAsia="Arial" w:hAnsi="Arial" w:cs="Arial"/>
          <w:b/>
        </w:rPr>
        <w:t>Introduction</w:t>
      </w:r>
    </w:p>
    <w:p w14:paraId="79963917" w14:textId="77777777" w:rsidR="008C051F" w:rsidRDefault="008C051F">
      <w:pPr>
        <w:spacing w:after="0" w:line="240" w:lineRule="auto"/>
        <w:rPr>
          <w:rFonts w:ascii="Arial" w:eastAsia="Arial" w:hAnsi="Arial" w:cs="Arial"/>
        </w:rPr>
      </w:pPr>
    </w:p>
    <w:p w14:paraId="79963918"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This paper outlines a programme of work on welfare, employment and skills with a focus on a research project the LGA has commissioned from the Centre for Economic and Social Inclusion (CESI).</w:t>
      </w:r>
    </w:p>
    <w:p w14:paraId="79963919" w14:textId="77777777" w:rsidR="008C051F" w:rsidRDefault="008C051F" w:rsidP="00940E13">
      <w:pPr>
        <w:spacing w:after="0" w:line="240" w:lineRule="auto"/>
        <w:ind w:left="567" w:hanging="567"/>
        <w:rPr>
          <w:rFonts w:ascii="Arial" w:eastAsia="Arial" w:hAnsi="Arial" w:cs="Arial"/>
        </w:rPr>
      </w:pPr>
    </w:p>
    <w:p w14:paraId="7996391A"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 xml:space="preserve">It is proposed that the work in this area should, within the present Board structure, be reported to both the Cities Board and the People and Places Board, as well as providing regular updates to the Economy and Transport </w:t>
      </w:r>
      <w:r w:rsidR="00611B0A" w:rsidRPr="00940E13">
        <w:rPr>
          <w:rFonts w:ascii="Arial" w:eastAsia="Arial" w:hAnsi="Arial" w:cs="Arial"/>
        </w:rPr>
        <w:t>Board</w:t>
      </w:r>
      <w:r w:rsidRPr="00940E13">
        <w:rPr>
          <w:rFonts w:ascii="Arial" w:eastAsia="Arial" w:hAnsi="Arial" w:cs="Arial"/>
        </w:rPr>
        <w:t xml:space="preserve"> and Finance Panel.</w:t>
      </w:r>
    </w:p>
    <w:p w14:paraId="7996391B" w14:textId="77777777" w:rsidR="008C051F" w:rsidRDefault="008C051F">
      <w:pPr>
        <w:spacing w:after="0" w:line="240" w:lineRule="auto"/>
        <w:ind w:left="720"/>
        <w:rPr>
          <w:rFonts w:ascii="Arial" w:eastAsia="Arial" w:hAnsi="Arial" w:cs="Arial"/>
        </w:rPr>
      </w:pPr>
    </w:p>
    <w:p w14:paraId="7996391C" w14:textId="77777777" w:rsidR="008C051F" w:rsidRDefault="00266922">
      <w:pPr>
        <w:spacing w:after="0" w:line="240" w:lineRule="auto"/>
        <w:rPr>
          <w:rFonts w:ascii="Arial" w:eastAsia="Arial" w:hAnsi="Arial" w:cs="Arial"/>
          <w:b/>
        </w:rPr>
      </w:pPr>
      <w:r>
        <w:rPr>
          <w:rFonts w:ascii="Arial" w:eastAsia="Arial" w:hAnsi="Arial" w:cs="Arial"/>
          <w:b/>
        </w:rPr>
        <w:t>Background</w:t>
      </w:r>
    </w:p>
    <w:p w14:paraId="7996391D" w14:textId="77777777" w:rsidR="008C051F" w:rsidRDefault="008C051F">
      <w:pPr>
        <w:spacing w:after="0" w:line="240" w:lineRule="auto"/>
        <w:rPr>
          <w:rFonts w:ascii="Arial" w:eastAsia="Arial" w:hAnsi="Arial" w:cs="Arial"/>
        </w:rPr>
      </w:pPr>
    </w:p>
    <w:p w14:paraId="7996391E"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It is the LGA's view that the current approach to the commissioning and delivery of support for welfare, employment and skills is currently fragmented, inefficient and overly centralised.</w:t>
      </w:r>
    </w:p>
    <w:p w14:paraId="7996391F" w14:textId="77777777" w:rsidR="008C051F" w:rsidRPr="00940E13" w:rsidRDefault="008C051F" w:rsidP="00940E13">
      <w:pPr>
        <w:pStyle w:val="ListParagraph"/>
        <w:spacing w:after="0" w:line="240" w:lineRule="auto"/>
        <w:ind w:left="567"/>
        <w:rPr>
          <w:rFonts w:ascii="Arial" w:eastAsia="Arial" w:hAnsi="Arial" w:cs="Arial"/>
        </w:rPr>
      </w:pPr>
    </w:p>
    <w:p w14:paraId="79963920"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This view has been informed by our work to date on Public Service Transformation and Community Budgets, as well as our specific research on commissioning for youth skills and employment through Hidden Talents</w:t>
      </w:r>
      <w:r w:rsidR="000C54EF">
        <w:rPr>
          <w:rFonts w:ascii="Arial" w:eastAsia="Arial" w:hAnsi="Arial" w:cs="Arial"/>
        </w:rPr>
        <w:t>.</w:t>
      </w:r>
    </w:p>
    <w:p w14:paraId="79963921" w14:textId="77777777" w:rsidR="008C051F" w:rsidRPr="00940E13" w:rsidRDefault="008C051F" w:rsidP="00940E13">
      <w:pPr>
        <w:pStyle w:val="ListParagraph"/>
        <w:spacing w:after="0" w:line="240" w:lineRule="auto"/>
        <w:ind w:left="567"/>
        <w:rPr>
          <w:rFonts w:ascii="Arial" w:eastAsia="Arial" w:hAnsi="Arial" w:cs="Arial"/>
        </w:rPr>
      </w:pPr>
    </w:p>
    <w:p w14:paraId="79963922" w14:textId="77777777" w:rsidR="00266922" w:rsidRPr="00266922"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Our work on welfare reform has also highlighted the importance of a central role for councils in integrating services around the needs of unemployed people and low income households, many of whom face complex or multiple barriers to work or progression. Both the People and Places Board and the Cities Board supported this view in discussions to agree their key priorities.</w:t>
      </w:r>
    </w:p>
    <w:p w14:paraId="79963923" w14:textId="77777777" w:rsidR="00266922" w:rsidRDefault="00266922" w:rsidP="00266922">
      <w:pPr>
        <w:spacing w:after="0" w:line="240" w:lineRule="auto"/>
        <w:ind w:left="360"/>
        <w:rPr>
          <w:rFonts w:ascii="Arial" w:eastAsia="Arial" w:hAnsi="Arial" w:cs="Arial"/>
        </w:rPr>
      </w:pPr>
    </w:p>
    <w:p w14:paraId="79963924"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 xml:space="preserve">Attached at </w:t>
      </w:r>
      <w:r w:rsidRPr="00940E13">
        <w:rPr>
          <w:rFonts w:ascii="Arial" w:eastAsia="Arial" w:hAnsi="Arial" w:cs="Arial"/>
          <w:b/>
        </w:rPr>
        <w:t xml:space="preserve">Annex </w:t>
      </w:r>
      <w:proofErr w:type="gramStart"/>
      <w:r w:rsidRPr="00940E13">
        <w:rPr>
          <w:rFonts w:ascii="Arial" w:eastAsia="Arial" w:hAnsi="Arial" w:cs="Arial"/>
          <w:b/>
        </w:rPr>
        <w:t>A</w:t>
      </w:r>
      <w:proofErr w:type="gramEnd"/>
      <w:r w:rsidRPr="00940E13">
        <w:rPr>
          <w:rFonts w:ascii="Arial" w:eastAsia="Arial" w:hAnsi="Arial" w:cs="Arial"/>
        </w:rPr>
        <w:t xml:space="preserve"> are updated case studies from Bath and North East Somerset, Melton and Rushcliffe who have been testing a locally-led and integrated approach to the Local Support Services Framework.  </w:t>
      </w:r>
    </w:p>
    <w:p w14:paraId="79963925" w14:textId="77777777" w:rsidR="008C051F" w:rsidRDefault="008C051F" w:rsidP="00940E13">
      <w:pPr>
        <w:pStyle w:val="ListParagraph"/>
        <w:spacing w:after="0" w:line="240" w:lineRule="auto"/>
        <w:ind w:left="567"/>
        <w:rPr>
          <w:rFonts w:ascii="Arial" w:eastAsia="Arial" w:hAnsi="Arial" w:cs="Arial"/>
        </w:rPr>
      </w:pPr>
    </w:p>
    <w:p w14:paraId="79963926"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FF1F6A">
        <w:rPr>
          <w:rFonts w:ascii="Arial" w:eastAsia="Arial" w:hAnsi="Arial" w:cs="Arial"/>
        </w:rPr>
        <w:t>The LGA therefore wants to develop a compelling proposal for devolving responsibility for employment, skills and welfare to new joined-up local arrangements to bring together the current offers from councils, Jobcentres, and the public sector skills agencies.</w:t>
      </w:r>
      <w:r w:rsidR="00FF1F6A">
        <w:rPr>
          <w:rFonts w:ascii="Arial" w:eastAsia="Arial" w:hAnsi="Arial" w:cs="Arial"/>
        </w:rPr>
        <w:t xml:space="preserve">  This will extend to adults, the </w:t>
      </w:r>
      <w:r w:rsidR="007E30C8">
        <w:rPr>
          <w:rFonts w:ascii="Arial" w:eastAsia="Arial" w:hAnsi="Arial" w:cs="Arial"/>
        </w:rPr>
        <w:t xml:space="preserve">policy </w:t>
      </w:r>
      <w:r w:rsidR="00FF1F6A">
        <w:rPr>
          <w:rFonts w:ascii="Arial" w:eastAsia="Arial" w:hAnsi="Arial" w:cs="Arial"/>
        </w:rPr>
        <w:t xml:space="preserve">analysis and evidence making the case for devolving responsibility for young people’s employment and skills to councils and local partners, most recently set out in </w:t>
      </w:r>
      <w:r w:rsidR="00FF1F6A" w:rsidRPr="00940E13">
        <w:rPr>
          <w:rFonts w:ascii="Arial" w:eastAsia="Arial" w:hAnsi="Arial" w:cs="Arial"/>
        </w:rPr>
        <w:t>Hidden talents II: re-engaging young people the local people. The headline findings</w:t>
      </w:r>
      <w:r w:rsidRPr="00940E13">
        <w:rPr>
          <w:rFonts w:ascii="Arial" w:eastAsia="Arial" w:hAnsi="Arial" w:cs="Arial"/>
        </w:rPr>
        <w:t xml:space="preserve"> and latest case studies</w:t>
      </w:r>
      <w:r w:rsidR="001F3F4A" w:rsidRPr="00940E13">
        <w:rPr>
          <w:rFonts w:ascii="Arial" w:eastAsia="Arial" w:hAnsi="Arial" w:cs="Arial"/>
        </w:rPr>
        <w:t xml:space="preserve"> from that work</w:t>
      </w:r>
      <w:r w:rsidR="00FF1F6A" w:rsidRPr="00940E13">
        <w:rPr>
          <w:rFonts w:ascii="Arial" w:eastAsia="Arial" w:hAnsi="Arial" w:cs="Arial"/>
        </w:rPr>
        <w:t xml:space="preserve"> are attached at </w:t>
      </w:r>
      <w:r w:rsidRPr="00940E13">
        <w:rPr>
          <w:rFonts w:ascii="Arial" w:eastAsia="Arial" w:hAnsi="Arial" w:cs="Arial"/>
          <w:b/>
        </w:rPr>
        <w:t>Annex B</w:t>
      </w:r>
      <w:r w:rsidR="00FF1F6A" w:rsidRPr="00940E13">
        <w:rPr>
          <w:rFonts w:ascii="Arial" w:eastAsia="Arial" w:hAnsi="Arial" w:cs="Arial"/>
        </w:rPr>
        <w:t>.</w:t>
      </w:r>
    </w:p>
    <w:p w14:paraId="79963927" w14:textId="77777777" w:rsidR="00FF1F6A" w:rsidRPr="00940E13" w:rsidRDefault="00FF1F6A" w:rsidP="00940E13">
      <w:pPr>
        <w:pStyle w:val="ListParagraph"/>
        <w:spacing w:after="0" w:line="240" w:lineRule="auto"/>
        <w:ind w:left="567"/>
        <w:rPr>
          <w:rFonts w:ascii="Arial" w:eastAsia="Arial" w:hAnsi="Arial" w:cs="Arial"/>
        </w:rPr>
      </w:pPr>
    </w:p>
    <w:p w14:paraId="79963928" w14:textId="77777777" w:rsidR="00FF1F6A"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This work will present strong challenges and ideas for devolution and place-based finance for an incoming or returning Government in 2015. Our aim is to influence key policy decisions including the re-let of back to work schemes in 2016, the future direction of skills policy, and the design and delivery of Universal Credit.</w:t>
      </w:r>
    </w:p>
    <w:p w14:paraId="79963929" w14:textId="77777777" w:rsidR="008C051F" w:rsidRDefault="008C051F">
      <w:pPr>
        <w:spacing w:after="0" w:line="240" w:lineRule="auto"/>
        <w:rPr>
          <w:rFonts w:ascii="Arial" w:eastAsia="Arial" w:hAnsi="Arial" w:cs="Arial"/>
          <w:color w:val="000000"/>
        </w:rPr>
      </w:pPr>
    </w:p>
    <w:p w14:paraId="7996392A" w14:textId="77777777" w:rsidR="008C051F" w:rsidRDefault="00266922">
      <w:pPr>
        <w:spacing w:after="0" w:line="240" w:lineRule="auto"/>
        <w:rPr>
          <w:rFonts w:ascii="Arial" w:eastAsia="Arial" w:hAnsi="Arial" w:cs="Arial"/>
          <w:b/>
        </w:rPr>
      </w:pPr>
      <w:r>
        <w:rPr>
          <w:rFonts w:ascii="Arial" w:eastAsia="Arial" w:hAnsi="Arial" w:cs="Arial"/>
          <w:b/>
        </w:rPr>
        <w:t>Outline of programme</w:t>
      </w:r>
    </w:p>
    <w:p w14:paraId="7996392B" w14:textId="77777777" w:rsidR="008C051F" w:rsidRDefault="008C051F">
      <w:pPr>
        <w:spacing w:after="0" w:line="240" w:lineRule="auto"/>
        <w:rPr>
          <w:rFonts w:ascii="Arial" w:eastAsia="Arial" w:hAnsi="Arial" w:cs="Arial"/>
        </w:rPr>
      </w:pPr>
    </w:p>
    <w:p w14:paraId="7996392C"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Councils, alongside L</w:t>
      </w:r>
      <w:r w:rsidR="00611B0A" w:rsidRPr="00940E13">
        <w:rPr>
          <w:rFonts w:ascii="Arial" w:eastAsia="Arial" w:hAnsi="Arial" w:cs="Arial"/>
        </w:rPr>
        <w:t xml:space="preserve">ocal </w:t>
      </w:r>
      <w:r w:rsidRPr="00940E13">
        <w:rPr>
          <w:rFonts w:ascii="Arial" w:eastAsia="Arial" w:hAnsi="Arial" w:cs="Arial"/>
        </w:rPr>
        <w:t>E</w:t>
      </w:r>
      <w:r w:rsidR="00611B0A" w:rsidRPr="00940E13">
        <w:rPr>
          <w:rFonts w:ascii="Arial" w:eastAsia="Arial" w:hAnsi="Arial" w:cs="Arial"/>
        </w:rPr>
        <w:t xml:space="preserve">nterprise </w:t>
      </w:r>
      <w:r w:rsidRPr="00940E13">
        <w:rPr>
          <w:rFonts w:ascii="Arial" w:eastAsia="Arial" w:hAnsi="Arial" w:cs="Arial"/>
        </w:rPr>
        <w:t>P</w:t>
      </w:r>
      <w:r w:rsidR="00611B0A" w:rsidRPr="00940E13">
        <w:rPr>
          <w:rFonts w:ascii="Arial" w:eastAsia="Arial" w:hAnsi="Arial" w:cs="Arial"/>
        </w:rPr>
        <w:t>artnership</w:t>
      </w:r>
      <w:r w:rsidRPr="00940E13">
        <w:rPr>
          <w:rFonts w:ascii="Arial" w:eastAsia="Arial" w:hAnsi="Arial" w:cs="Arial"/>
        </w:rPr>
        <w:t>s</w:t>
      </w:r>
      <w:r w:rsidR="00611B0A" w:rsidRPr="00940E13">
        <w:rPr>
          <w:rFonts w:ascii="Arial" w:eastAsia="Arial" w:hAnsi="Arial" w:cs="Arial"/>
        </w:rPr>
        <w:t xml:space="preserve"> (LEPs)</w:t>
      </w:r>
      <w:r w:rsidRPr="00940E13">
        <w:rPr>
          <w:rFonts w:ascii="Arial" w:eastAsia="Arial" w:hAnsi="Arial" w:cs="Arial"/>
        </w:rPr>
        <w:t>, are at the forefront of local efforts to create the right conditions for growth, using local intelligence to predict which sectors will bring growth, which will decline, and critically what skills are needed locally for those jobs. Supporting all local residents so they are equipped with skills and capacity to compete for local jobs is fundamental to achieving local growth ambitions and tackling worklessness.</w:t>
      </w:r>
    </w:p>
    <w:p w14:paraId="7996392D" w14:textId="77777777" w:rsidR="008C051F" w:rsidRPr="00940E13" w:rsidRDefault="008C051F" w:rsidP="00940E13">
      <w:pPr>
        <w:pStyle w:val="ListParagraph"/>
        <w:spacing w:after="0" w:line="240" w:lineRule="auto"/>
        <w:ind w:left="567"/>
        <w:rPr>
          <w:rFonts w:ascii="Arial" w:eastAsia="Arial" w:hAnsi="Arial" w:cs="Arial"/>
        </w:rPr>
      </w:pPr>
    </w:p>
    <w:p w14:paraId="7996392E"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In consultation with Board members we have i</w:t>
      </w:r>
      <w:r w:rsidR="00611B0A" w:rsidRPr="00940E13">
        <w:rPr>
          <w:rFonts w:ascii="Arial" w:eastAsia="Arial" w:hAnsi="Arial" w:cs="Arial"/>
        </w:rPr>
        <w:t>dentified a core group of 11</w:t>
      </w:r>
      <w:r w:rsidRPr="00940E13">
        <w:rPr>
          <w:rFonts w:ascii="Arial" w:eastAsia="Arial" w:hAnsi="Arial" w:cs="Arial"/>
        </w:rPr>
        <w:t xml:space="preserve"> places with whom we will work closely to develop the evidence base for our proposal, and draw on learning from local approaches.</w:t>
      </w:r>
    </w:p>
    <w:p w14:paraId="7996392F" w14:textId="77777777" w:rsidR="008C051F" w:rsidRPr="00940E13" w:rsidRDefault="008C051F" w:rsidP="00940E13">
      <w:pPr>
        <w:pStyle w:val="ListParagraph"/>
        <w:spacing w:after="0" w:line="240" w:lineRule="auto"/>
        <w:ind w:left="567"/>
        <w:rPr>
          <w:rFonts w:ascii="Arial" w:eastAsia="Arial" w:hAnsi="Arial" w:cs="Arial"/>
        </w:rPr>
      </w:pPr>
    </w:p>
    <w:p w14:paraId="79963930" w14:textId="77777777" w:rsidR="008C051F" w:rsidRPr="00940E13" w:rsidRDefault="001F3F4A"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The 11</w:t>
      </w:r>
      <w:r w:rsidR="00266922" w:rsidRPr="00940E13">
        <w:rPr>
          <w:rFonts w:ascii="Arial" w:eastAsia="Arial" w:hAnsi="Arial" w:cs="Arial"/>
        </w:rPr>
        <w:t xml:space="preserve"> places are:</w:t>
      </w:r>
    </w:p>
    <w:p w14:paraId="79963931" w14:textId="77777777" w:rsidR="008C051F" w:rsidRDefault="008C051F" w:rsidP="00940E13">
      <w:pPr>
        <w:spacing w:after="0" w:line="240" w:lineRule="auto"/>
        <w:ind w:left="1276" w:hanging="567"/>
        <w:rPr>
          <w:rFonts w:ascii="Arial" w:eastAsia="Arial" w:hAnsi="Arial" w:cs="Arial"/>
          <w:color w:val="000000"/>
        </w:rPr>
      </w:pPr>
    </w:p>
    <w:p w14:paraId="79963932"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Devon</w:t>
      </w:r>
    </w:p>
    <w:p w14:paraId="79963933"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Essex</w:t>
      </w:r>
    </w:p>
    <w:p w14:paraId="79963934"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Surrey</w:t>
      </w:r>
    </w:p>
    <w:p w14:paraId="79963935"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Lincolnshire</w:t>
      </w:r>
    </w:p>
    <w:p w14:paraId="79963936"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Shropshire</w:t>
      </w:r>
    </w:p>
    <w:p w14:paraId="79963937"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Staffordshire</w:t>
      </w:r>
    </w:p>
    <w:p w14:paraId="79963938"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Greater Manchester</w:t>
      </w:r>
    </w:p>
    <w:p w14:paraId="79963939"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West Yorkshire combined authority (Leeds, Wakefield and Barnsley)</w:t>
      </w:r>
    </w:p>
    <w:p w14:paraId="7996393A"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Newcastle</w:t>
      </w:r>
    </w:p>
    <w:p w14:paraId="7996393B"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South London tri-borough (Lambeth, Southwark and Lewisham)</w:t>
      </w:r>
    </w:p>
    <w:p w14:paraId="7996393C" w14:textId="77777777" w:rsidR="008C051F" w:rsidRDefault="00266922" w:rsidP="00940E13">
      <w:pPr>
        <w:numPr>
          <w:ilvl w:val="0"/>
          <w:numId w:val="12"/>
        </w:numPr>
        <w:spacing w:after="0" w:line="240" w:lineRule="auto"/>
        <w:ind w:left="1276" w:hanging="567"/>
        <w:rPr>
          <w:rFonts w:ascii="Arial" w:eastAsia="Arial" w:hAnsi="Arial" w:cs="Arial"/>
          <w:color w:val="000000"/>
        </w:rPr>
      </w:pPr>
      <w:r>
        <w:rPr>
          <w:rFonts w:ascii="Arial" w:eastAsia="Arial" w:hAnsi="Arial" w:cs="Arial"/>
          <w:color w:val="000000"/>
        </w:rPr>
        <w:t>Southampton and Portsmouth</w:t>
      </w:r>
    </w:p>
    <w:p w14:paraId="7996393D" w14:textId="77777777" w:rsidR="008C051F" w:rsidRDefault="008C051F">
      <w:pPr>
        <w:spacing w:after="0" w:line="240" w:lineRule="auto"/>
        <w:rPr>
          <w:rFonts w:ascii="Arial" w:eastAsia="Arial" w:hAnsi="Arial" w:cs="Arial"/>
          <w:color w:val="000000"/>
        </w:rPr>
      </w:pPr>
    </w:p>
    <w:p w14:paraId="7996393E"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 xml:space="preserve">Cllr David Hodge and Cllr Richard Lees </w:t>
      </w:r>
      <w:r w:rsidR="000C54EF">
        <w:rPr>
          <w:rFonts w:ascii="Arial" w:eastAsia="Arial" w:hAnsi="Arial" w:cs="Arial"/>
        </w:rPr>
        <w:t>wrote jointly to Leaders on 19</w:t>
      </w:r>
      <w:r w:rsidRPr="00940E13">
        <w:rPr>
          <w:rFonts w:ascii="Arial" w:eastAsia="Arial" w:hAnsi="Arial" w:cs="Arial"/>
        </w:rPr>
        <w:t xml:space="preserve"> May to formally invite councils to be part of the programme.  This is currently being followed up through discussions between local officers, LGA officers and David Simmonds, Chief Executive of the </w:t>
      </w:r>
      <w:r>
        <w:rPr>
          <w:rFonts w:ascii="Arial" w:eastAsia="Arial" w:hAnsi="Arial" w:cs="Arial"/>
        </w:rPr>
        <w:t xml:space="preserve">Centre for Economic and Social Inclusion </w:t>
      </w:r>
      <w:r w:rsidRPr="00940E13">
        <w:rPr>
          <w:rFonts w:ascii="Arial" w:eastAsia="Arial" w:hAnsi="Arial" w:cs="Arial"/>
        </w:rPr>
        <w:t>(CESI).</w:t>
      </w:r>
    </w:p>
    <w:p w14:paraId="7996393F" w14:textId="77777777" w:rsidR="008C051F" w:rsidRPr="00940E13" w:rsidRDefault="008C051F" w:rsidP="00940E13">
      <w:pPr>
        <w:pStyle w:val="ListParagraph"/>
        <w:spacing w:after="0" w:line="240" w:lineRule="auto"/>
        <w:ind w:left="567"/>
        <w:rPr>
          <w:rFonts w:ascii="Arial" w:eastAsia="Arial" w:hAnsi="Arial" w:cs="Arial"/>
        </w:rPr>
      </w:pPr>
    </w:p>
    <w:p w14:paraId="79963940" w14:textId="77777777" w:rsidR="008C051F" w:rsidRPr="00940E13" w:rsidRDefault="00611B0A"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The 11</w:t>
      </w:r>
      <w:r w:rsidR="00266922" w:rsidRPr="00940E13">
        <w:rPr>
          <w:rFonts w:ascii="Arial" w:eastAsia="Arial" w:hAnsi="Arial" w:cs="Arial"/>
        </w:rPr>
        <w:t xml:space="preserve"> places have been selected to provide a spread of both metropolitan and non-metropolitan areas.  This will enable us to draw on specific learning from non-metropolitan areas to inform work and priorities of specific interest to the People and Places Board when appropriate or required, in particular reflecting the more complex geography of some non-metropolitan areas.</w:t>
      </w:r>
    </w:p>
    <w:p w14:paraId="79963941" w14:textId="77777777" w:rsidR="008C051F" w:rsidRPr="00940E13" w:rsidRDefault="008C051F" w:rsidP="00940E13">
      <w:pPr>
        <w:pStyle w:val="ListParagraph"/>
        <w:spacing w:after="0" w:line="240" w:lineRule="auto"/>
        <w:ind w:left="567"/>
        <w:rPr>
          <w:rFonts w:ascii="Arial" w:eastAsia="Arial" w:hAnsi="Arial" w:cs="Arial"/>
        </w:rPr>
      </w:pPr>
    </w:p>
    <w:p w14:paraId="79963942" w14:textId="77777777" w:rsidR="008C051F" w:rsidRPr="00940E13" w:rsidRDefault="00611B0A"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Four of the 11 places</w:t>
      </w:r>
      <w:r w:rsidR="00266922" w:rsidRPr="00940E13">
        <w:rPr>
          <w:rFonts w:ascii="Arial" w:eastAsia="Arial" w:hAnsi="Arial" w:cs="Arial"/>
        </w:rPr>
        <w:t xml:space="preserve"> </w:t>
      </w:r>
      <w:r w:rsidR="000C54EF">
        <w:rPr>
          <w:rFonts w:ascii="Arial" w:eastAsia="Arial" w:hAnsi="Arial" w:cs="Arial"/>
        </w:rPr>
        <w:t>are also 'whole place' areas which</w:t>
      </w:r>
      <w:r w:rsidR="00266922" w:rsidRPr="00940E13">
        <w:rPr>
          <w:rFonts w:ascii="Arial" w:eastAsia="Arial" w:hAnsi="Arial" w:cs="Arial"/>
        </w:rPr>
        <w:t xml:space="preserve"> have placed employment and skills at the heart of their approach, ensuring a good fit with our wider work on public service transformation.</w:t>
      </w:r>
    </w:p>
    <w:p w14:paraId="79963943" w14:textId="77777777" w:rsidR="008C051F" w:rsidRDefault="008C051F">
      <w:pPr>
        <w:spacing w:after="0" w:line="240" w:lineRule="auto"/>
        <w:rPr>
          <w:rFonts w:ascii="Arial" w:eastAsia="Arial" w:hAnsi="Arial" w:cs="Arial"/>
          <w:color w:val="000000"/>
        </w:rPr>
      </w:pPr>
    </w:p>
    <w:p w14:paraId="79963944" w14:textId="77777777" w:rsidR="008C051F" w:rsidRDefault="00266922">
      <w:pPr>
        <w:spacing w:after="0" w:line="240" w:lineRule="auto"/>
        <w:rPr>
          <w:rFonts w:ascii="Arial" w:eastAsia="Arial" w:hAnsi="Arial" w:cs="Arial"/>
          <w:color w:val="000000"/>
        </w:rPr>
      </w:pPr>
      <w:r>
        <w:rPr>
          <w:rFonts w:ascii="Arial" w:eastAsia="Arial" w:hAnsi="Arial" w:cs="Arial"/>
          <w:b/>
          <w:color w:val="000000"/>
        </w:rPr>
        <w:t>CESI research on welfare, employment and skills</w:t>
      </w:r>
    </w:p>
    <w:p w14:paraId="79963945" w14:textId="77777777" w:rsidR="008C051F" w:rsidRDefault="008C051F">
      <w:pPr>
        <w:spacing w:after="0" w:line="240" w:lineRule="auto"/>
        <w:rPr>
          <w:rFonts w:ascii="Arial" w:eastAsia="Arial" w:hAnsi="Arial" w:cs="Arial"/>
        </w:rPr>
      </w:pPr>
    </w:p>
    <w:p w14:paraId="79963946"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Pr>
          <w:rFonts w:ascii="Arial" w:eastAsia="Arial" w:hAnsi="Arial" w:cs="Arial"/>
        </w:rPr>
        <w:t>We have commissioned CESI to deliver a series of three research reports. These will draw on evidence and experiences from the eleven places set out above to explore whether the current national employment and skills system can deliver for a growing economy and enable all local people to contribute to and benefit from local growth. These are set out below.</w:t>
      </w:r>
      <w:r w:rsidRPr="00940E13">
        <w:rPr>
          <w:rFonts w:ascii="Arial" w:eastAsia="Arial" w:hAnsi="Arial" w:cs="Arial"/>
        </w:rPr>
        <w:t xml:space="preserve"> </w:t>
      </w:r>
    </w:p>
    <w:p w14:paraId="79963947" w14:textId="77777777" w:rsidR="008C051F" w:rsidRDefault="008C051F">
      <w:pPr>
        <w:spacing w:after="0" w:line="240" w:lineRule="auto"/>
        <w:rPr>
          <w:rFonts w:ascii="Calibri" w:eastAsia="Calibri" w:hAnsi="Calibri" w:cs="Calibri"/>
        </w:rPr>
      </w:pPr>
    </w:p>
    <w:p w14:paraId="79963948" w14:textId="77777777" w:rsidR="008C051F" w:rsidRPr="00940E13" w:rsidRDefault="00266922" w:rsidP="00940E13">
      <w:pPr>
        <w:pStyle w:val="ListParagraph"/>
        <w:numPr>
          <w:ilvl w:val="0"/>
          <w:numId w:val="28"/>
        </w:numPr>
        <w:spacing w:after="0" w:line="240" w:lineRule="auto"/>
        <w:ind w:left="1134" w:hanging="567"/>
        <w:rPr>
          <w:rFonts w:ascii="Arial" w:eastAsia="Arial" w:hAnsi="Arial" w:cs="Arial"/>
          <w:color w:val="000000"/>
        </w:rPr>
      </w:pPr>
      <w:r w:rsidRPr="00940E13">
        <w:rPr>
          <w:rFonts w:ascii="Arial" w:eastAsia="Arial" w:hAnsi="Arial" w:cs="Arial"/>
          <w:b/>
          <w:i/>
          <w:color w:val="000000"/>
        </w:rPr>
        <w:t>Initial report setting out the challenge by place</w:t>
      </w:r>
      <w:r w:rsidRPr="00940E13">
        <w:rPr>
          <w:rFonts w:ascii="Arial" w:eastAsia="Arial" w:hAnsi="Arial" w:cs="Arial"/>
          <w:color w:val="000000"/>
        </w:rPr>
        <w:t xml:space="preserve">: </w:t>
      </w:r>
      <w:r w:rsidRPr="00940E13">
        <w:rPr>
          <w:rFonts w:ascii="Arial" w:eastAsia="Arial" w:hAnsi="Arial" w:cs="Arial"/>
        </w:rPr>
        <w:t>This will explore the barriers presented by the current skills and b</w:t>
      </w:r>
      <w:r w:rsidR="00611B0A" w:rsidRPr="00940E13">
        <w:rPr>
          <w:rFonts w:ascii="Arial" w:eastAsia="Arial" w:hAnsi="Arial" w:cs="Arial"/>
        </w:rPr>
        <w:t>ack-to-work system, which milita</w:t>
      </w:r>
      <w:r w:rsidRPr="00940E13">
        <w:rPr>
          <w:rFonts w:ascii="Arial" w:eastAsia="Arial" w:hAnsi="Arial" w:cs="Arial"/>
        </w:rPr>
        <w:t xml:space="preserve">tes against locally tailored and integrated solutions. It will demonstrate that without reform, future local growth ambitions will not be maximised. </w:t>
      </w:r>
      <w:r w:rsidR="00611B0A" w:rsidRPr="00940E13">
        <w:rPr>
          <w:rFonts w:ascii="Arial" w:eastAsia="Arial" w:hAnsi="Arial" w:cs="Arial"/>
          <w:color w:val="000000"/>
        </w:rPr>
        <w:t>Drawing on the 11</w:t>
      </w:r>
      <w:r w:rsidRPr="00940E13">
        <w:rPr>
          <w:rFonts w:ascii="Arial" w:eastAsia="Arial" w:hAnsi="Arial" w:cs="Arial"/>
          <w:color w:val="000000"/>
        </w:rPr>
        <w:t xml:space="preserve"> places it will map the skills requirements needed to meet 2022 local growth ambitions and offer firm recommendations for how these might be achieved through local commissioning. </w:t>
      </w:r>
      <w:r w:rsidRPr="00940E13">
        <w:rPr>
          <w:rFonts w:ascii="Arial" w:eastAsia="Arial" w:hAnsi="Arial" w:cs="Arial"/>
          <w:b/>
          <w:color w:val="000000"/>
        </w:rPr>
        <w:t>This report will be presented at LGA annual conference.</w:t>
      </w:r>
      <w:r w:rsidRPr="00940E13">
        <w:rPr>
          <w:rFonts w:ascii="Arial" w:eastAsia="Arial" w:hAnsi="Arial" w:cs="Arial"/>
          <w:color w:val="000000"/>
        </w:rPr>
        <w:t xml:space="preserve">  </w:t>
      </w:r>
    </w:p>
    <w:p w14:paraId="79963949" w14:textId="77777777" w:rsidR="008C051F" w:rsidRDefault="008C051F" w:rsidP="00940E13">
      <w:pPr>
        <w:spacing w:after="0" w:line="240" w:lineRule="auto"/>
        <w:ind w:left="1134" w:hanging="567"/>
        <w:rPr>
          <w:rFonts w:ascii="Arial" w:eastAsia="Arial" w:hAnsi="Arial" w:cs="Arial"/>
        </w:rPr>
      </w:pPr>
    </w:p>
    <w:p w14:paraId="7996394A" w14:textId="77777777" w:rsidR="008C051F" w:rsidRPr="00940E13" w:rsidRDefault="00266922" w:rsidP="00940E13">
      <w:pPr>
        <w:pStyle w:val="ListParagraph"/>
        <w:numPr>
          <w:ilvl w:val="0"/>
          <w:numId w:val="28"/>
        </w:numPr>
        <w:spacing w:after="0" w:line="240" w:lineRule="auto"/>
        <w:ind w:left="1134" w:hanging="567"/>
        <w:rPr>
          <w:rFonts w:ascii="Arial" w:eastAsia="Arial" w:hAnsi="Arial" w:cs="Arial"/>
        </w:rPr>
      </w:pPr>
      <w:r w:rsidRPr="00940E13">
        <w:rPr>
          <w:rFonts w:ascii="Arial" w:eastAsia="Arial" w:hAnsi="Arial" w:cs="Arial"/>
          <w:b/>
          <w:i/>
        </w:rPr>
        <w:t>A second report setting out the impact on residents:</w:t>
      </w:r>
      <w:r w:rsidRPr="00940E13">
        <w:rPr>
          <w:rFonts w:ascii="Arial" w:eastAsia="Arial" w:hAnsi="Arial" w:cs="Arial"/>
        </w:rPr>
        <w:t xml:space="preserve"> This will focus on how current nationally commissioned welfare, employment and skills provision fails to address the complex needs of individuals or respond to different local circumstances, leading to poor outcomes. It will also explore how needs might be more effectively met by a more locally responsive and integrated approach. It will offer recommendations. </w:t>
      </w:r>
      <w:r w:rsidRPr="00940E13">
        <w:rPr>
          <w:rFonts w:ascii="Arial" w:eastAsia="Arial" w:hAnsi="Arial" w:cs="Arial"/>
          <w:b/>
        </w:rPr>
        <w:t>This will be published during the autumn</w:t>
      </w:r>
      <w:r w:rsidRPr="00940E13">
        <w:rPr>
          <w:rFonts w:ascii="Arial" w:eastAsia="Arial" w:hAnsi="Arial" w:cs="Arial"/>
        </w:rPr>
        <w:t>.</w:t>
      </w:r>
    </w:p>
    <w:p w14:paraId="7996394B" w14:textId="77777777" w:rsidR="008C051F" w:rsidRDefault="008C051F" w:rsidP="00940E13">
      <w:pPr>
        <w:spacing w:after="0" w:line="240" w:lineRule="auto"/>
        <w:ind w:left="1134" w:hanging="567"/>
        <w:rPr>
          <w:rFonts w:ascii="Arial" w:eastAsia="Arial" w:hAnsi="Arial" w:cs="Arial"/>
        </w:rPr>
      </w:pPr>
    </w:p>
    <w:p w14:paraId="7996394C" w14:textId="77777777" w:rsidR="008C051F" w:rsidRPr="00940E13" w:rsidRDefault="00266922" w:rsidP="00940E13">
      <w:pPr>
        <w:pStyle w:val="ListParagraph"/>
        <w:numPr>
          <w:ilvl w:val="0"/>
          <w:numId w:val="28"/>
        </w:numPr>
        <w:spacing w:after="0" w:line="240" w:lineRule="auto"/>
        <w:ind w:left="1134" w:hanging="567"/>
        <w:rPr>
          <w:rFonts w:ascii="Arial" w:eastAsia="Arial" w:hAnsi="Arial" w:cs="Arial"/>
          <w:b/>
          <w:color w:val="000000"/>
        </w:rPr>
      </w:pPr>
      <w:r w:rsidRPr="00940E13">
        <w:rPr>
          <w:rFonts w:ascii="Arial" w:eastAsia="Arial" w:hAnsi="Arial" w:cs="Arial"/>
          <w:b/>
          <w:i/>
          <w:color w:val="000000"/>
        </w:rPr>
        <w:t>A final report</w:t>
      </w:r>
      <w:r w:rsidRPr="00940E13">
        <w:rPr>
          <w:rFonts w:ascii="Arial" w:eastAsia="Arial" w:hAnsi="Arial" w:cs="Arial"/>
          <w:color w:val="000000"/>
        </w:rPr>
        <w:t xml:space="preserve"> will pull together all of the findings and make some recommendations for the future design and delivery of welfare, employment and skills support to contribute to the modelling work described below. </w:t>
      </w:r>
      <w:r w:rsidRPr="00940E13">
        <w:rPr>
          <w:rFonts w:ascii="Arial" w:eastAsia="Arial" w:hAnsi="Arial" w:cs="Arial"/>
          <w:b/>
          <w:color w:val="000000"/>
        </w:rPr>
        <w:t>This will be published by the beginning of 2015.</w:t>
      </w:r>
    </w:p>
    <w:p w14:paraId="7996394D" w14:textId="77777777" w:rsidR="008C051F" w:rsidRDefault="008C051F">
      <w:pPr>
        <w:spacing w:after="0" w:line="240" w:lineRule="auto"/>
        <w:rPr>
          <w:rFonts w:ascii="Arial" w:eastAsia="Arial" w:hAnsi="Arial" w:cs="Arial"/>
        </w:rPr>
      </w:pPr>
    </w:p>
    <w:p w14:paraId="7996394E" w14:textId="77777777" w:rsidR="008C051F" w:rsidRDefault="00266922">
      <w:pPr>
        <w:spacing w:after="0" w:line="240" w:lineRule="auto"/>
        <w:rPr>
          <w:rFonts w:ascii="Arial" w:eastAsia="Arial" w:hAnsi="Arial" w:cs="Arial"/>
        </w:rPr>
      </w:pPr>
      <w:r>
        <w:rPr>
          <w:rFonts w:ascii="Arial" w:eastAsia="Arial" w:hAnsi="Arial" w:cs="Arial"/>
          <w:b/>
        </w:rPr>
        <w:t>Developing a devolved model for the commissioning and delivery of welfare, employment and skills</w:t>
      </w:r>
    </w:p>
    <w:p w14:paraId="7996394F" w14:textId="77777777" w:rsidR="008C051F" w:rsidRDefault="008C051F">
      <w:pPr>
        <w:spacing w:after="0" w:line="240" w:lineRule="auto"/>
        <w:rPr>
          <w:rFonts w:ascii="Arial" w:eastAsia="Arial" w:hAnsi="Arial" w:cs="Arial"/>
        </w:rPr>
      </w:pPr>
    </w:p>
    <w:p w14:paraId="79963950" w14:textId="77777777" w:rsidR="008C051F" w:rsidRDefault="00266922" w:rsidP="00940E13">
      <w:pPr>
        <w:pStyle w:val="ListParagraph"/>
        <w:numPr>
          <w:ilvl w:val="0"/>
          <w:numId w:val="26"/>
        </w:numPr>
        <w:spacing w:after="0" w:line="240" w:lineRule="auto"/>
        <w:ind w:left="567" w:hanging="567"/>
        <w:rPr>
          <w:rFonts w:ascii="Arial" w:eastAsia="Arial" w:hAnsi="Arial" w:cs="Arial"/>
        </w:rPr>
      </w:pPr>
      <w:r>
        <w:rPr>
          <w:rFonts w:ascii="Arial" w:eastAsia="Arial" w:hAnsi="Arial" w:cs="Arial"/>
        </w:rPr>
        <w:t xml:space="preserve">We will draw on the research outlined above, input from the key Boards and learning from our broader work on Public Service Transformation to develop, by March 2015, what a devolved approach to the design, commissioning and delivery of support for welfare, employment and skills could look like.  </w:t>
      </w:r>
    </w:p>
    <w:p w14:paraId="79963951" w14:textId="77777777" w:rsidR="008C051F" w:rsidRDefault="008C051F">
      <w:pPr>
        <w:spacing w:after="0" w:line="240" w:lineRule="auto"/>
        <w:rPr>
          <w:rFonts w:ascii="Arial" w:eastAsia="Arial" w:hAnsi="Arial" w:cs="Arial"/>
        </w:rPr>
      </w:pPr>
    </w:p>
    <w:p w14:paraId="79963952" w14:textId="77777777" w:rsidR="008C051F" w:rsidRDefault="00266922" w:rsidP="00940E13">
      <w:pPr>
        <w:pStyle w:val="ListParagraph"/>
        <w:numPr>
          <w:ilvl w:val="0"/>
          <w:numId w:val="26"/>
        </w:numPr>
        <w:spacing w:after="0" w:line="240" w:lineRule="auto"/>
        <w:ind w:left="567" w:hanging="567"/>
        <w:rPr>
          <w:rFonts w:ascii="Arial" w:eastAsia="Arial" w:hAnsi="Arial" w:cs="Arial"/>
        </w:rPr>
      </w:pPr>
      <w:r>
        <w:rPr>
          <w:rFonts w:ascii="Arial" w:eastAsia="Arial" w:hAnsi="Arial" w:cs="Arial"/>
        </w:rPr>
        <w:t>As a first step to achieving that, we need to gather intelligence of what we know is working well already. We will scope this work in more detail</w:t>
      </w:r>
      <w:r w:rsidR="00611B0A">
        <w:rPr>
          <w:rFonts w:ascii="Arial" w:eastAsia="Arial" w:hAnsi="Arial" w:cs="Arial"/>
        </w:rPr>
        <w:t xml:space="preserve"> in consultation with the 11</w:t>
      </w:r>
      <w:r>
        <w:rPr>
          <w:rFonts w:ascii="Arial" w:eastAsia="Arial" w:hAnsi="Arial" w:cs="Arial"/>
        </w:rPr>
        <w:t xml:space="preserve"> places</w:t>
      </w:r>
      <w:r w:rsidR="00611B0A">
        <w:rPr>
          <w:rFonts w:ascii="Arial" w:eastAsia="Arial" w:hAnsi="Arial" w:cs="Arial"/>
        </w:rPr>
        <w:t>.</w:t>
      </w:r>
    </w:p>
    <w:p w14:paraId="79963953" w14:textId="77777777" w:rsidR="008C051F" w:rsidRDefault="008C051F">
      <w:pPr>
        <w:spacing w:after="0" w:line="240" w:lineRule="auto"/>
        <w:rPr>
          <w:rFonts w:ascii="Arial" w:eastAsia="Arial" w:hAnsi="Arial" w:cs="Arial"/>
        </w:rPr>
      </w:pPr>
    </w:p>
    <w:p w14:paraId="79963954" w14:textId="77777777" w:rsidR="008C051F" w:rsidRDefault="00266922" w:rsidP="00940E13">
      <w:pPr>
        <w:pStyle w:val="ListParagraph"/>
        <w:numPr>
          <w:ilvl w:val="0"/>
          <w:numId w:val="26"/>
        </w:numPr>
        <w:spacing w:after="0" w:line="240" w:lineRule="auto"/>
        <w:ind w:left="567" w:hanging="567"/>
        <w:rPr>
          <w:rFonts w:ascii="Arial" w:eastAsia="Arial" w:hAnsi="Arial" w:cs="Arial"/>
        </w:rPr>
      </w:pPr>
      <w:r>
        <w:rPr>
          <w:rFonts w:ascii="Arial" w:eastAsia="Arial" w:hAnsi="Arial" w:cs="Arial"/>
        </w:rPr>
        <w:t>Key things we are proposing to draw on include:</w:t>
      </w:r>
    </w:p>
    <w:p w14:paraId="79963955" w14:textId="77777777" w:rsidR="00940E13" w:rsidRPr="00940E13" w:rsidRDefault="00940E13" w:rsidP="00940E13">
      <w:pPr>
        <w:spacing w:after="0" w:line="240" w:lineRule="auto"/>
        <w:rPr>
          <w:rFonts w:ascii="Arial" w:eastAsia="Arial" w:hAnsi="Arial" w:cs="Arial"/>
        </w:rPr>
      </w:pPr>
    </w:p>
    <w:p w14:paraId="79963956" w14:textId="77777777" w:rsidR="008C051F" w:rsidRDefault="00266922" w:rsidP="00940E13">
      <w:pPr>
        <w:pStyle w:val="ListParagraph"/>
        <w:numPr>
          <w:ilvl w:val="0"/>
          <w:numId w:val="29"/>
        </w:numPr>
        <w:spacing w:after="0" w:line="240" w:lineRule="auto"/>
        <w:ind w:left="1134" w:hanging="567"/>
        <w:rPr>
          <w:rFonts w:ascii="Arial" w:eastAsia="Arial" w:hAnsi="Arial" w:cs="Arial"/>
          <w:color w:val="000000"/>
        </w:rPr>
      </w:pPr>
      <w:r w:rsidRPr="00940E13">
        <w:rPr>
          <w:rFonts w:ascii="Arial" w:eastAsia="Arial" w:hAnsi="Arial" w:cs="Arial"/>
          <w:color w:val="000000"/>
        </w:rPr>
        <w:t>locally designed back-to-work schemes, with targets and outcomes, which offer alternatives to national schemes, particul</w:t>
      </w:r>
      <w:r w:rsidR="00940E13">
        <w:rPr>
          <w:rFonts w:ascii="Arial" w:eastAsia="Arial" w:hAnsi="Arial" w:cs="Arial"/>
          <w:color w:val="000000"/>
        </w:rPr>
        <w:t>arly for specific client groups;</w:t>
      </w:r>
    </w:p>
    <w:p w14:paraId="79963957" w14:textId="77777777" w:rsidR="00940E13" w:rsidRPr="00940E13" w:rsidRDefault="00940E13" w:rsidP="00940E13">
      <w:pPr>
        <w:pStyle w:val="ListParagraph"/>
        <w:spacing w:after="0" w:line="240" w:lineRule="auto"/>
        <w:ind w:left="1134"/>
        <w:rPr>
          <w:rFonts w:ascii="Arial" w:eastAsia="Arial" w:hAnsi="Arial" w:cs="Arial"/>
          <w:color w:val="000000"/>
        </w:rPr>
      </w:pPr>
    </w:p>
    <w:p w14:paraId="79963958" w14:textId="77777777" w:rsidR="008C051F" w:rsidRDefault="00266922" w:rsidP="00940E13">
      <w:pPr>
        <w:pStyle w:val="ListParagraph"/>
        <w:numPr>
          <w:ilvl w:val="0"/>
          <w:numId w:val="29"/>
        </w:numPr>
        <w:spacing w:after="0" w:line="240" w:lineRule="auto"/>
        <w:ind w:left="1134" w:hanging="567"/>
        <w:rPr>
          <w:rFonts w:ascii="Arial" w:eastAsia="Arial" w:hAnsi="Arial" w:cs="Arial"/>
          <w:color w:val="000000"/>
        </w:rPr>
      </w:pPr>
      <w:r w:rsidRPr="00940E13">
        <w:rPr>
          <w:rFonts w:ascii="Arial" w:eastAsia="Arial" w:hAnsi="Arial" w:cs="Arial"/>
          <w:color w:val="000000"/>
        </w:rPr>
        <w:t>locally led intermediate local labour market interventions that are linked to local regeneration and wider LEP growth activity, bringing on board the private sector</w:t>
      </w:r>
      <w:r w:rsidR="00940E13">
        <w:rPr>
          <w:rFonts w:ascii="Arial" w:eastAsia="Arial" w:hAnsi="Arial" w:cs="Arial"/>
          <w:color w:val="000000"/>
        </w:rPr>
        <w:t>;</w:t>
      </w:r>
    </w:p>
    <w:p w14:paraId="79963959" w14:textId="77777777" w:rsidR="00940E13" w:rsidRPr="00940E13" w:rsidRDefault="00940E13" w:rsidP="00940E13">
      <w:pPr>
        <w:spacing w:after="0" w:line="240" w:lineRule="auto"/>
        <w:rPr>
          <w:rFonts w:ascii="Arial" w:eastAsia="Arial" w:hAnsi="Arial" w:cs="Arial"/>
          <w:color w:val="000000"/>
        </w:rPr>
      </w:pPr>
    </w:p>
    <w:p w14:paraId="7996395A" w14:textId="77777777" w:rsidR="008C051F" w:rsidRDefault="00266922" w:rsidP="00940E13">
      <w:pPr>
        <w:pStyle w:val="ListParagraph"/>
        <w:numPr>
          <w:ilvl w:val="0"/>
          <w:numId w:val="29"/>
        </w:numPr>
        <w:spacing w:after="0" w:line="240" w:lineRule="auto"/>
        <w:ind w:left="1134" w:hanging="567"/>
        <w:rPr>
          <w:rFonts w:ascii="Arial" w:eastAsia="Arial" w:hAnsi="Arial" w:cs="Arial"/>
          <w:color w:val="000000"/>
        </w:rPr>
      </w:pPr>
      <w:r w:rsidRPr="00940E13">
        <w:rPr>
          <w:rFonts w:ascii="Arial" w:eastAsia="Arial" w:hAnsi="Arial" w:cs="Arial"/>
          <w:color w:val="000000"/>
        </w:rPr>
        <w:t>outcomes from co-location of key services including Jobcentres, advice provision and employment support</w:t>
      </w:r>
      <w:r w:rsidR="00940E13">
        <w:rPr>
          <w:rFonts w:ascii="Arial" w:eastAsia="Arial" w:hAnsi="Arial" w:cs="Arial"/>
          <w:color w:val="000000"/>
        </w:rPr>
        <w:t>;</w:t>
      </w:r>
    </w:p>
    <w:p w14:paraId="7996395B" w14:textId="77777777" w:rsidR="00940E13" w:rsidRPr="00940E13" w:rsidRDefault="00940E13" w:rsidP="00940E13">
      <w:pPr>
        <w:spacing w:after="0" w:line="240" w:lineRule="auto"/>
        <w:rPr>
          <w:rFonts w:ascii="Arial" w:eastAsia="Arial" w:hAnsi="Arial" w:cs="Arial"/>
          <w:color w:val="000000"/>
        </w:rPr>
      </w:pPr>
    </w:p>
    <w:p w14:paraId="7996395C" w14:textId="77777777" w:rsidR="008C051F" w:rsidRDefault="00266922" w:rsidP="00940E13">
      <w:pPr>
        <w:pStyle w:val="ListParagraph"/>
        <w:numPr>
          <w:ilvl w:val="0"/>
          <w:numId w:val="29"/>
        </w:numPr>
        <w:spacing w:after="0" w:line="240" w:lineRule="auto"/>
        <w:ind w:left="1134" w:hanging="567"/>
        <w:rPr>
          <w:rFonts w:ascii="Arial" w:eastAsia="Arial" w:hAnsi="Arial" w:cs="Arial"/>
          <w:color w:val="000000"/>
        </w:rPr>
      </w:pPr>
      <w:r w:rsidRPr="00940E13">
        <w:rPr>
          <w:rFonts w:ascii="Arial" w:eastAsia="Arial" w:hAnsi="Arial" w:cs="Arial"/>
          <w:color w:val="000000"/>
        </w:rPr>
        <w:t>locally commissioned skills provision that addresses employer demand in local growth sectors</w:t>
      </w:r>
      <w:r w:rsidR="00940E13">
        <w:rPr>
          <w:rFonts w:ascii="Arial" w:eastAsia="Arial" w:hAnsi="Arial" w:cs="Arial"/>
          <w:color w:val="000000"/>
        </w:rPr>
        <w:t>; and</w:t>
      </w:r>
      <w:r w:rsidRPr="00940E13">
        <w:rPr>
          <w:rFonts w:ascii="Arial" w:eastAsia="Arial" w:hAnsi="Arial" w:cs="Arial"/>
          <w:color w:val="000000"/>
        </w:rPr>
        <w:t xml:space="preserve"> </w:t>
      </w:r>
    </w:p>
    <w:p w14:paraId="7996395D" w14:textId="77777777" w:rsidR="00940E13" w:rsidRPr="00940E13" w:rsidRDefault="00940E13" w:rsidP="00940E13">
      <w:pPr>
        <w:spacing w:after="0" w:line="240" w:lineRule="auto"/>
        <w:rPr>
          <w:rFonts w:ascii="Arial" w:eastAsia="Arial" w:hAnsi="Arial" w:cs="Arial"/>
          <w:color w:val="000000"/>
        </w:rPr>
      </w:pPr>
    </w:p>
    <w:p w14:paraId="7996395E" w14:textId="77777777" w:rsidR="008C051F" w:rsidRPr="00940E13" w:rsidRDefault="00266922" w:rsidP="00940E13">
      <w:pPr>
        <w:pStyle w:val="ListParagraph"/>
        <w:numPr>
          <w:ilvl w:val="0"/>
          <w:numId w:val="29"/>
        </w:numPr>
        <w:spacing w:after="0" w:line="240" w:lineRule="auto"/>
        <w:ind w:left="1134" w:hanging="567"/>
        <w:rPr>
          <w:rFonts w:ascii="Arial" w:eastAsia="Arial" w:hAnsi="Arial" w:cs="Arial"/>
          <w:color w:val="000000"/>
        </w:rPr>
      </w:pPr>
      <w:proofErr w:type="gramStart"/>
      <w:r w:rsidRPr="00940E13">
        <w:rPr>
          <w:rFonts w:ascii="Arial" w:eastAsia="Arial" w:hAnsi="Arial" w:cs="Arial"/>
          <w:color w:val="000000"/>
        </w:rPr>
        <w:t>effective</w:t>
      </w:r>
      <w:proofErr w:type="gramEnd"/>
      <w:r w:rsidRPr="00940E13">
        <w:rPr>
          <w:rFonts w:ascii="Arial" w:eastAsia="Arial" w:hAnsi="Arial" w:cs="Arial"/>
          <w:color w:val="000000"/>
        </w:rPr>
        <w:t xml:space="preserve"> integration of Local Support Services in preparation for Universal Credit roll-out</w:t>
      </w:r>
      <w:r w:rsidR="00940E13">
        <w:rPr>
          <w:rFonts w:ascii="Arial" w:eastAsia="Arial" w:hAnsi="Arial" w:cs="Arial"/>
          <w:color w:val="000000"/>
        </w:rPr>
        <w:t>.</w:t>
      </w:r>
    </w:p>
    <w:p w14:paraId="7996395F" w14:textId="77777777" w:rsidR="008C051F" w:rsidRDefault="008C051F">
      <w:pPr>
        <w:spacing w:after="0" w:line="240" w:lineRule="auto"/>
        <w:rPr>
          <w:rFonts w:ascii="Arial" w:eastAsia="Arial" w:hAnsi="Arial" w:cs="Arial"/>
          <w:color w:val="000000"/>
        </w:rPr>
      </w:pPr>
    </w:p>
    <w:p w14:paraId="79963960" w14:textId="77777777" w:rsidR="008C051F"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 xml:space="preserve">This could be used to identify and analyse: </w:t>
      </w:r>
    </w:p>
    <w:p w14:paraId="79963961" w14:textId="77777777" w:rsidR="00940E13" w:rsidRPr="00940E13" w:rsidRDefault="00940E13" w:rsidP="00940E13">
      <w:pPr>
        <w:pStyle w:val="ListParagraph"/>
        <w:spacing w:after="0" w:line="240" w:lineRule="auto"/>
        <w:ind w:left="567"/>
        <w:rPr>
          <w:rFonts w:ascii="Arial" w:eastAsia="Arial" w:hAnsi="Arial" w:cs="Arial"/>
        </w:rPr>
      </w:pPr>
    </w:p>
    <w:p w14:paraId="79963962" w14:textId="77777777" w:rsidR="008C051F" w:rsidRDefault="00266922" w:rsidP="00940E13">
      <w:pPr>
        <w:pStyle w:val="ListParagraph"/>
        <w:numPr>
          <w:ilvl w:val="0"/>
          <w:numId w:val="31"/>
        </w:numPr>
        <w:spacing w:after="0" w:line="240" w:lineRule="auto"/>
        <w:ind w:left="1134" w:hanging="513"/>
        <w:rPr>
          <w:rFonts w:ascii="Arial" w:eastAsia="Arial" w:hAnsi="Arial" w:cs="Arial"/>
        </w:rPr>
      </w:pPr>
      <w:proofErr w:type="gramStart"/>
      <w:r w:rsidRPr="00940E13">
        <w:rPr>
          <w:rFonts w:ascii="Arial" w:eastAsia="Arial" w:hAnsi="Arial" w:cs="Arial"/>
        </w:rPr>
        <w:t>factors</w:t>
      </w:r>
      <w:proofErr w:type="gramEnd"/>
      <w:r w:rsidRPr="00940E13">
        <w:rPr>
          <w:rFonts w:ascii="Arial" w:eastAsia="Arial" w:hAnsi="Arial" w:cs="Arial"/>
        </w:rPr>
        <w:t xml:space="preserve"> driving the success, which enable us to recommend policy changes to support devolved models (co-location, case worker approach </w:t>
      </w:r>
      <w:r w:rsidR="00611B0A" w:rsidRPr="00940E13">
        <w:rPr>
          <w:rFonts w:ascii="Arial" w:eastAsia="Arial" w:hAnsi="Arial" w:cs="Arial"/>
        </w:rPr>
        <w:t>etc.</w:t>
      </w:r>
      <w:r w:rsidRPr="00940E13">
        <w:rPr>
          <w:rFonts w:ascii="Arial" w:eastAsia="Arial" w:hAnsi="Arial" w:cs="Arial"/>
        </w:rPr>
        <w:t>)</w:t>
      </w:r>
      <w:r w:rsidR="00940E13">
        <w:rPr>
          <w:rFonts w:ascii="Arial" w:eastAsia="Arial" w:hAnsi="Arial" w:cs="Arial"/>
        </w:rPr>
        <w:t>;</w:t>
      </w:r>
    </w:p>
    <w:p w14:paraId="79963963" w14:textId="77777777" w:rsidR="00940E13" w:rsidRPr="00940E13" w:rsidRDefault="00940E13" w:rsidP="00940E13">
      <w:pPr>
        <w:pStyle w:val="ListParagraph"/>
        <w:spacing w:after="0" w:line="240" w:lineRule="auto"/>
        <w:ind w:left="1134"/>
        <w:rPr>
          <w:rFonts w:ascii="Arial" w:eastAsia="Arial" w:hAnsi="Arial" w:cs="Arial"/>
        </w:rPr>
      </w:pPr>
    </w:p>
    <w:p w14:paraId="79963964" w14:textId="77777777" w:rsidR="008C051F" w:rsidRDefault="00266922" w:rsidP="00940E13">
      <w:pPr>
        <w:pStyle w:val="ListParagraph"/>
        <w:numPr>
          <w:ilvl w:val="0"/>
          <w:numId w:val="31"/>
        </w:numPr>
        <w:spacing w:after="0" w:line="240" w:lineRule="auto"/>
        <w:ind w:left="1134" w:hanging="513"/>
        <w:rPr>
          <w:rFonts w:ascii="Arial" w:eastAsia="Arial" w:hAnsi="Arial" w:cs="Arial"/>
        </w:rPr>
      </w:pPr>
      <w:r w:rsidRPr="00940E13">
        <w:rPr>
          <w:rFonts w:ascii="Arial" w:eastAsia="Arial" w:hAnsi="Arial" w:cs="Arial"/>
        </w:rPr>
        <w:t>comparisons with national programmes</w:t>
      </w:r>
      <w:r w:rsidR="00940E13">
        <w:rPr>
          <w:rFonts w:ascii="Arial" w:eastAsia="Arial" w:hAnsi="Arial" w:cs="Arial"/>
        </w:rPr>
        <w:t>; and</w:t>
      </w:r>
      <w:r w:rsidRPr="00940E13">
        <w:rPr>
          <w:rFonts w:ascii="Arial" w:eastAsia="Arial" w:hAnsi="Arial" w:cs="Arial"/>
        </w:rPr>
        <w:t xml:space="preserve">  </w:t>
      </w:r>
    </w:p>
    <w:p w14:paraId="79963965" w14:textId="77777777" w:rsidR="00940E13" w:rsidRPr="00940E13" w:rsidRDefault="00940E13" w:rsidP="00940E13">
      <w:pPr>
        <w:pStyle w:val="ListParagraph"/>
        <w:rPr>
          <w:rFonts w:ascii="Arial" w:eastAsia="Arial" w:hAnsi="Arial" w:cs="Arial"/>
        </w:rPr>
      </w:pPr>
    </w:p>
    <w:p w14:paraId="79963966" w14:textId="77777777" w:rsidR="00940E13" w:rsidRPr="00940E13" w:rsidRDefault="00940E13" w:rsidP="00940E13">
      <w:pPr>
        <w:pStyle w:val="ListParagraph"/>
        <w:spacing w:after="0" w:line="240" w:lineRule="auto"/>
        <w:ind w:left="1134"/>
        <w:rPr>
          <w:rFonts w:ascii="Arial" w:eastAsia="Arial" w:hAnsi="Arial" w:cs="Arial"/>
        </w:rPr>
      </w:pPr>
    </w:p>
    <w:p w14:paraId="79963967" w14:textId="77777777" w:rsidR="008C051F" w:rsidRPr="00940E13" w:rsidRDefault="00266922" w:rsidP="00940E13">
      <w:pPr>
        <w:pStyle w:val="ListParagraph"/>
        <w:numPr>
          <w:ilvl w:val="0"/>
          <w:numId w:val="31"/>
        </w:numPr>
        <w:spacing w:after="0" w:line="240" w:lineRule="auto"/>
        <w:ind w:left="1134" w:hanging="513"/>
        <w:rPr>
          <w:rFonts w:ascii="Arial" w:eastAsia="Arial" w:hAnsi="Arial" w:cs="Arial"/>
        </w:rPr>
      </w:pPr>
      <w:r w:rsidRPr="00940E13">
        <w:rPr>
          <w:rFonts w:ascii="Arial" w:eastAsia="Arial" w:hAnsi="Arial" w:cs="Arial"/>
        </w:rPr>
        <w:t>outcomes of the success rates if they were to be scaled up nationally</w:t>
      </w:r>
    </w:p>
    <w:p w14:paraId="79963968" w14:textId="77777777" w:rsidR="008C051F" w:rsidRDefault="008C051F" w:rsidP="00940E13">
      <w:pPr>
        <w:spacing w:after="0" w:line="240" w:lineRule="auto"/>
        <w:ind w:left="1134" w:hanging="513"/>
        <w:rPr>
          <w:rFonts w:ascii="Arial" w:eastAsia="Arial" w:hAnsi="Arial" w:cs="Arial"/>
        </w:rPr>
      </w:pPr>
    </w:p>
    <w:p w14:paraId="79963969" w14:textId="77777777" w:rsidR="008C051F" w:rsidRPr="00940E13" w:rsidRDefault="00266922" w:rsidP="00940E13">
      <w:pPr>
        <w:pStyle w:val="ListParagraph"/>
        <w:numPr>
          <w:ilvl w:val="0"/>
          <w:numId w:val="26"/>
        </w:numPr>
        <w:spacing w:after="0" w:line="240" w:lineRule="auto"/>
        <w:ind w:left="567" w:hanging="567"/>
        <w:rPr>
          <w:rFonts w:ascii="Arial" w:eastAsia="Arial" w:hAnsi="Arial" w:cs="Arial"/>
        </w:rPr>
      </w:pPr>
      <w:r w:rsidRPr="00940E13">
        <w:rPr>
          <w:rFonts w:ascii="Arial" w:eastAsia="Arial" w:hAnsi="Arial" w:cs="Arial"/>
        </w:rPr>
        <w:t>We would welcome views from Board members on the development of this piece of work.</w:t>
      </w:r>
    </w:p>
    <w:p w14:paraId="7996396A" w14:textId="77777777" w:rsidR="008C051F" w:rsidRDefault="008C051F">
      <w:pPr>
        <w:spacing w:before="120" w:after="0" w:line="240" w:lineRule="auto"/>
        <w:rPr>
          <w:rFonts w:ascii="Arial" w:eastAsia="Arial" w:hAnsi="Arial" w:cs="Arial"/>
        </w:rPr>
      </w:pPr>
    </w:p>
    <w:sectPr w:rsidR="008C051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6396D" w14:textId="77777777" w:rsidR="00AE7314" w:rsidRDefault="00AE7314" w:rsidP="00940E13">
      <w:pPr>
        <w:spacing w:after="0" w:line="240" w:lineRule="auto"/>
      </w:pPr>
      <w:r>
        <w:separator/>
      </w:r>
    </w:p>
  </w:endnote>
  <w:endnote w:type="continuationSeparator" w:id="0">
    <w:p w14:paraId="7996396E" w14:textId="77777777" w:rsidR="00AE7314" w:rsidRDefault="00AE7314" w:rsidP="0094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CFB0" w14:textId="77777777" w:rsidR="005964E3" w:rsidRDefault="00596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6A9FE" w14:textId="77777777" w:rsidR="005964E3" w:rsidRDefault="00596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96BC" w14:textId="77777777" w:rsidR="005964E3" w:rsidRDefault="00596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6396B" w14:textId="77777777" w:rsidR="00AE7314" w:rsidRDefault="00AE7314" w:rsidP="00940E13">
      <w:pPr>
        <w:spacing w:after="0" w:line="240" w:lineRule="auto"/>
      </w:pPr>
      <w:r>
        <w:separator/>
      </w:r>
    </w:p>
  </w:footnote>
  <w:footnote w:type="continuationSeparator" w:id="0">
    <w:p w14:paraId="7996396C" w14:textId="77777777" w:rsidR="00AE7314" w:rsidRDefault="00AE7314" w:rsidP="00940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63CB" w14:textId="77777777" w:rsidR="005964E3" w:rsidRDefault="00596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440" w:type="dxa"/>
      <w:tblLook w:val="01E0" w:firstRow="1" w:lastRow="1" w:firstColumn="1" w:lastColumn="1" w:noHBand="0" w:noVBand="0"/>
    </w:tblPr>
    <w:tblGrid>
      <w:gridCol w:w="6629"/>
      <w:gridCol w:w="5811"/>
    </w:tblGrid>
    <w:tr w:rsidR="00940E13" w14:paraId="79963971" w14:textId="77777777" w:rsidTr="00940E13">
      <w:tc>
        <w:tcPr>
          <w:tcW w:w="6629" w:type="dxa"/>
          <w:vMerge w:val="restart"/>
          <w:shd w:val="clear" w:color="auto" w:fill="auto"/>
        </w:tcPr>
        <w:p w14:paraId="7996396F" w14:textId="77777777" w:rsidR="00940E13" w:rsidRPr="00374227" w:rsidRDefault="00940E13" w:rsidP="00076A1E">
          <w:pPr>
            <w:pStyle w:val="Header"/>
            <w:tabs>
              <w:tab w:val="center" w:pos="2923"/>
            </w:tabs>
          </w:pPr>
          <w:r>
            <w:rPr>
              <w:rFonts w:ascii="Arial" w:hAnsi="Arial" w:cs="Arial"/>
              <w:noProof/>
              <w:sz w:val="44"/>
              <w:szCs w:val="44"/>
            </w:rPr>
            <w:drawing>
              <wp:inline distT="0" distB="0" distL="0" distR="0" wp14:anchorId="79963979" wp14:editId="7996397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5811" w:type="dxa"/>
          <w:vAlign w:val="center"/>
        </w:tcPr>
        <w:p w14:paraId="79963970" w14:textId="77777777" w:rsidR="00940E13" w:rsidRDefault="00940E13" w:rsidP="00076A1E">
          <w:pPr>
            <w:pStyle w:val="Header"/>
            <w:rPr>
              <w:rFonts w:ascii="Arial" w:hAnsi="Arial" w:cs="Arial"/>
              <w:b/>
            </w:rPr>
          </w:pPr>
          <w:r>
            <w:rPr>
              <w:rFonts w:ascii="Arial" w:hAnsi="Arial" w:cs="Arial"/>
              <w:b/>
            </w:rPr>
            <w:t>People and Places Board</w:t>
          </w:r>
        </w:p>
      </w:tc>
    </w:tr>
    <w:tr w:rsidR="00940E13" w14:paraId="79963974" w14:textId="77777777" w:rsidTr="00940E13">
      <w:trPr>
        <w:trHeight w:val="450"/>
      </w:trPr>
      <w:tc>
        <w:tcPr>
          <w:tcW w:w="6629" w:type="dxa"/>
          <w:vMerge/>
          <w:shd w:val="clear" w:color="auto" w:fill="auto"/>
        </w:tcPr>
        <w:p w14:paraId="79963972" w14:textId="77777777" w:rsidR="00940E13" w:rsidRPr="00374227" w:rsidRDefault="00940E13" w:rsidP="00076A1E">
          <w:pPr>
            <w:pStyle w:val="Header"/>
          </w:pPr>
        </w:p>
      </w:tc>
      <w:tc>
        <w:tcPr>
          <w:tcW w:w="5811" w:type="dxa"/>
          <w:vAlign w:val="center"/>
        </w:tcPr>
        <w:p w14:paraId="79963973" w14:textId="77777777" w:rsidR="00940E13" w:rsidRDefault="00940E13" w:rsidP="00076A1E">
          <w:pPr>
            <w:pStyle w:val="Header"/>
            <w:spacing w:before="60"/>
            <w:rPr>
              <w:rFonts w:ascii="Arial" w:hAnsi="Arial" w:cs="Arial"/>
            </w:rPr>
          </w:pPr>
          <w:r>
            <w:rPr>
              <w:rFonts w:ascii="Arial" w:hAnsi="Arial" w:cs="Arial"/>
            </w:rPr>
            <w:t>16 June 2014</w:t>
          </w:r>
        </w:p>
      </w:tc>
    </w:tr>
    <w:tr w:rsidR="00940E13" w:rsidRPr="00374227" w14:paraId="79963977" w14:textId="77777777" w:rsidTr="00940E13">
      <w:trPr>
        <w:trHeight w:val="708"/>
      </w:trPr>
      <w:tc>
        <w:tcPr>
          <w:tcW w:w="6629" w:type="dxa"/>
          <w:vMerge/>
          <w:shd w:val="clear" w:color="auto" w:fill="auto"/>
        </w:tcPr>
        <w:p w14:paraId="79963975" w14:textId="77777777" w:rsidR="00940E13" w:rsidRPr="00374227" w:rsidRDefault="00940E13" w:rsidP="00076A1E">
          <w:pPr>
            <w:pStyle w:val="Header"/>
          </w:pPr>
        </w:p>
      </w:tc>
      <w:tc>
        <w:tcPr>
          <w:tcW w:w="5811" w:type="dxa"/>
          <w:vAlign w:val="center"/>
        </w:tcPr>
        <w:p w14:paraId="79963976" w14:textId="39505C6B" w:rsidR="00940E13" w:rsidRPr="00374227" w:rsidRDefault="00940E13" w:rsidP="00076A1E">
          <w:pPr>
            <w:pStyle w:val="Header"/>
            <w:spacing w:before="60"/>
            <w:rPr>
              <w:rFonts w:ascii="Arial" w:hAnsi="Arial" w:cs="Arial"/>
              <w:b/>
            </w:rPr>
          </w:pPr>
          <w:bookmarkStart w:id="0" w:name="_GoBack"/>
          <w:bookmarkEnd w:id="0"/>
        </w:p>
      </w:tc>
    </w:tr>
  </w:tbl>
  <w:p w14:paraId="79963978" w14:textId="77777777" w:rsidR="00940E13" w:rsidRPr="00940E13" w:rsidRDefault="00940E13" w:rsidP="00940E13">
    <w:pPr>
      <w:pStyle w:val="Header"/>
      <w:tabs>
        <w:tab w:val="clear" w:pos="4513"/>
        <w:tab w:val="clear" w:pos="9026"/>
        <w:tab w:val="left" w:pos="69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BE188" w14:textId="77777777" w:rsidR="005964E3" w:rsidRDefault="00596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708"/>
    <w:multiLevelType w:val="multilevel"/>
    <w:tmpl w:val="EA14C8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F2125"/>
    <w:multiLevelType w:val="hybridMultilevel"/>
    <w:tmpl w:val="72B4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23384"/>
    <w:multiLevelType w:val="multilevel"/>
    <w:tmpl w:val="34FC3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D23B0"/>
    <w:multiLevelType w:val="multilevel"/>
    <w:tmpl w:val="B8C01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D4D86"/>
    <w:multiLevelType w:val="hybridMultilevel"/>
    <w:tmpl w:val="3350FEA8"/>
    <w:lvl w:ilvl="0" w:tplc="3EB4CE36">
      <w:start w:val="1"/>
      <w:numFmt w:val="decimal"/>
      <w:lvlText w:val="15.%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44755F"/>
    <w:multiLevelType w:val="multilevel"/>
    <w:tmpl w:val="18FCD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21E16"/>
    <w:multiLevelType w:val="multilevel"/>
    <w:tmpl w:val="D8F00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9162EA"/>
    <w:multiLevelType w:val="multilevel"/>
    <w:tmpl w:val="D4820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123EB"/>
    <w:multiLevelType w:val="multilevel"/>
    <w:tmpl w:val="29668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D6D13"/>
    <w:multiLevelType w:val="hybridMultilevel"/>
    <w:tmpl w:val="82ECF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42362F"/>
    <w:multiLevelType w:val="multilevel"/>
    <w:tmpl w:val="C166E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350C4B"/>
    <w:multiLevelType w:val="hybridMultilevel"/>
    <w:tmpl w:val="818EB3D8"/>
    <w:lvl w:ilvl="0" w:tplc="E1145618">
      <w:start w:val="1"/>
      <w:numFmt w:val="decimal"/>
      <w:lvlText w:val="19.%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247094"/>
    <w:multiLevelType w:val="multilevel"/>
    <w:tmpl w:val="37B6B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CE2F09"/>
    <w:multiLevelType w:val="multilevel"/>
    <w:tmpl w:val="75B88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172E83"/>
    <w:multiLevelType w:val="multilevel"/>
    <w:tmpl w:val="117AF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1765E2"/>
    <w:multiLevelType w:val="multilevel"/>
    <w:tmpl w:val="C7943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DB7E45"/>
    <w:multiLevelType w:val="multilevel"/>
    <w:tmpl w:val="DB5C1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721855"/>
    <w:multiLevelType w:val="hybridMultilevel"/>
    <w:tmpl w:val="5EC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9F27B0"/>
    <w:multiLevelType w:val="multilevel"/>
    <w:tmpl w:val="7DEAE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992922"/>
    <w:multiLevelType w:val="multilevel"/>
    <w:tmpl w:val="5DCE0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52613A"/>
    <w:multiLevelType w:val="multilevel"/>
    <w:tmpl w:val="653C1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DB3DBF"/>
    <w:multiLevelType w:val="multilevel"/>
    <w:tmpl w:val="0C8C9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154E08"/>
    <w:multiLevelType w:val="hybridMultilevel"/>
    <w:tmpl w:val="8D70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505CC8"/>
    <w:multiLevelType w:val="hybridMultilevel"/>
    <w:tmpl w:val="80E2E1EE"/>
    <w:lvl w:ilvl="0" w:tplc="1F1E4CDA">
      <w:start w:val="1"/>
      <w:numFmt w:val="decimal"/>
      <w:lvlText w:val="18.%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1041EF"/>
    <w:multiLevelType w:val="multilevel"/>
    <w:tmpl w:val="5B124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4A0C05"/>
    <w:multiLevelType w:val="multilevel"/>
    <w:tmpl w:val="7B2A9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177717"/>
    <w:multiLevelType w:val="multilevel"/>
    <w:tmpl w:val="E0361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E62702"/>
    <w:multiLevelType w:val="multilevel"/>
    <w:tmpl w:val="4B00A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C1626D"/>
    <w:multiLevelType w:val="multilevel"/>
    <w:tmpl w:val="7FA2C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9DB0ED0"/>
    <w:multiLevelType w:val="multilevel"/>
    <w:tmpl w:val="0C0EC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BA30B7"/>
    <w:multiLevelType w:val="multilevel"/>
    <w:tmpl w:val="310AD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
  </w:num>
  <w:num w:numId="3">
    <w:abstractNumId w:val="28"/>
  </w:num>
  <w:num w:numId="4">
    <w:abstractNumId w:val="18"/>
  </w:num>
  <w:num w:numId="5">
    <w:abstractNumId w:val="24"/>
  </w:num>
  <w:num w:numId="6">
    <w:abstractNumId w:val="29"/>
  </w:num>
  <w:num w:numId="7">
    <w:abstractNumId w:val="6"/>
  </w:num>
  <w:num w:numId="8">
    <w:abstractNumId w:val="19"/>
  </w:num>
  <w:num w:numId="9">
    <w:abstractNumId w:val="21"/>
  </w:num>
  <w:num w:numId="10">
    <w:abstractNumId w:val="7"/>
  </w:num>
  <w:num w:numId="11">
    <w:abstractNumId w:val="5"/>
  </w:num>
  <w:num w:numId="12">
    <w:abstractNumId w:val="25"/>
  </w:num>
  <w:num w:numId="13">
    <w:abstractNumId w:val="14"/>
  </w:num>
  <w:num w:numId="14">
    <w:abstractNumId w:val="10"/>
  </w:num>
  <w:num w:numId="15">
    <w:abstractNumId w:val="26"/>
  </w:num>
  <w:num w:numId="16">
    <w:abstractNumId w:val="3"/>
  </w:num>
  <w:num w:numId="17">
    <w:abstractNumId w:val="0"/>
  </w:num>
  <w:num w:numId="18">
    <w:abstractNumId w:val="30"/>
  </w:num>
  <w:num w:numId="19">
    <w:abstractNumId w:val="16"/>
  </w:num>
  <w:num w:numId="20">
    <w:abstractNumId w:val="15"/>
  </w:num>
  <w:num w:numId="21">
    <w:abstractNumId w:val="13"/>
  </w:num>
  <w:num w:numId="22">
    <w:abstractNumId w:val="27"/>
  </w:num>
  <w:num w:numId="23">
    <w:abstractNumId w:val="8"/>
  </w:num>
  <w:num w:numId="24">
    <w:abstractNumId w:val="12"/>
  </w:num>
  <w:num w:numId="25">
    <w:abstractNumId w:val="17"/>
  </w:num>
  <w:num w:numId="26">
    <w:abstractNumId w:val="9"/>
  </w:num>
  <w:num w:numId="27">
    <w:abstractNumId w:val="22"/>
  </w:num>
  <w:num w:numId="28">
    <w:abstractNumId w:val="4"/>
  </w:num>
  <w:num w:numId="29">
    <w:abstractNumId w:val="23"/>
  </w:num>
  <w:num w:numId="30">
    <w:abstractNumId w:val="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1F"/>
    <w:rsid w:val="000C54EF"/>
    <w:rsid w:val="001F3F4A"/>
    <w:rsid w:val="00266922"/>
    <w:rsid w:val="005964E3"/>
    <w:rsid w:val="00611B0A"/>
    <w:rsid w:val="007E30C8"/>
    <w:rsid w:val="008C051F"/>
    <w:rsid w:val="00940E13"/>
    <w:rsid w:val="00A60BFC"/>
    <w:rsid w:val="00AE7314"/>
    <w:rsid w:val="00FF1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6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6A"/>
    <w:pPr>
      <w:ind w:left="720"/>
      <w:contextualSpacing/>
    </w:pPr>
  </w:style>
  <w:style w:type="paragraph" w:styleId="Header">
    <w:name w:val="header"/>
    <w:basedOn w:val="Normal"/>
    <w:link w:val="HeaderChar"/>
    <w:unhideWhenUsed/>
    <w:rsid w:val="0094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E13"/>
  </w:style>
  <w:style w:type="paragraph" w:styleId="Footer">
    <w:name w:val="footer"/>
    <w:basedOn w:val="Normal"/>
    <w:link w:val="FooterChar"/>
    <w:uiPriority w:val="99"/>
    <w:unhideWhenUsed/>
    <w:rsid w:val="0094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E13"/>
  </w:style>
  <w:style w:type="paragraph" w:styleId="BalloonText">
    <w:name w:val="Balloon Text"/>
    <w:basedOn w:val="Normal"/>
    <w:link w:val="BalloonTextChar"/>
    <w:uiPriority w:val="99"/>
    <w:semiHidden/>
    <w:unhideWhenUsed/>
    <w:rsid w:val="0094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E13"/>
    <w:rPr>
      <w:rFonts w:ascii="Tahoma" w:hAnsi="Tahoma" w:cs="Tahoma"/>
      <w:sz w:val="16"/>
      <w:szCs w:val="16"/>
    </w:rPr>
  </w:style>
  <w:style w:type="character" w:styleId="Hyperlink">
    <w:name w:val="Hyperlink"/>
    <w:basedOn w:val="DefaultParagraphFont"/>
    <w:uiPriority w:val="99"/>
    <w:unhideWhenUsed/>
    <w:rsid w:val="00940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6A"/>
    <w:pPr>
      <w:ind w:left="720"/>
      <w:contextualSpacing/>
    </w:pPr>
  </w:style>
  <w:style w:type="paragraph" w:styleId="Header">
    <w:name w:val="header"/>
    <w:basedOn w:val="Normal"/>
    <w:link w:val="HeaderChar"/>
    <w:unhideWhenUsed/>
    <w:rsid w:val="0094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E13"/>
  </w:style>
  <w:style w:type="paragraph" w:styleId="Footer">
    <w:name w:val="footer"/>
    <w:basedOn w:val="Normal"/>
    <w:link w:val="FooterChar"/>
    <w:uiPriority w:val="99"/>
    <w:unhideWhenUsed/>
    <w:rsid w:val="0094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E13"/>
  </w:style>
  <w:style w:type="paragraph" w:styleId="BalloonText">
    <w:name w:val="Balloon Text"/>
    <w:basedOn w:val="Normal"/>
    <w:link w:val="BalloonTextChar"/>
    <w:uiPriority w:val="99"/>
    <w:semiHidden/>
    <w:unhideWhenUsed/>
    <w:rsid w:val="00940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E13"/>
    <w:rPr>
      <w:rFonts w:ascii="Tahoma" w:hAnsi="Tahoma" w:cs="Tahoma"/>
      <w:sz w:val="16"/>
      <w:szCs w:val="16"/>
    </w:rPr>
  </w:style>
  <w:style w:type="character" w:styleId="Hyperlink">
    <w:name w:val="Hyperlink"/>
    <w:basedOn w:val="DefaultParagraphFont"/>
    <w:uiPriority w:val="99"/>
    <w:unhideWhenUsed/>
    <w:rsid w:val="00940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doran@local.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Stephen Service</cp:lastModifiedBy>
  <cp:revision>3</cp:revision>
  <dcterms:created xsi:type="dcterms:W3CDTF">2014-06-09T10:52:00Z</dcterms:created>
  <dcterms:modified xsi:type="dcterms:W3CDTF">2014-06-10T13:29:00Z</dcterms:modified>
</cp:coreProperties>
</file>

<file path=docProps/custom.xml><?xml version="1.0" encoding="utf-8"?>
<op:Properties xmlns:op="http://schemas.openxmlformats.org/officeDocument/2006/custom-properties"/>
</file>